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1914074"/>
    <w:bookmarkStart w:id="1" w:name="_Toc416260885"/>
    <w:bookmarkStart w:id="2" w:name="_Toc98394872"/>
    <w:p w14:paraId="1340786F" w14:textId="50166351" w:rsidR="004C1926" w:rsidRPr="00617370" w:rsidRDefault="00FA16EF" w:rsidP="00FA16EF">
      <w:pPr>
        <w:tabs>
          <w:tab w:val="left" w:pos="7845"/>
        </w:tabs>
      </w:pPr>
      <w:r w:rsidRPr="00617370">
        <w:rPr>
          <w:noProof/>
          <w:lang w:eastAsia="en-AU"/>
        </w:rPr>
        <mc:AlternateContent>
          <mc:Choice Requires="wps">
            <w:drawing>
              <wp:anchor distT="0" distB="0" distL="114300" distR="114300" simplePos="0" relativeHeight="251658240" behindDoc="0" locked="0" layoutInCell="1" allowOverlap="1" wp14:anchorId="3F3A18F1" wp14:editId="05ED043A">
                <wp:simplePos x="0" y="0"/>
                <wp:positionH relativeFrom="column">
                  <wp:posOffset>4662170</wp:posOffset>
                </wp:positionH>
                <wp:positionV relativeFrom="paragraph">
                  <wp:posOffset>-557530</wp:posOffset>
                </wp:positionV>
                <wp:extent cx="1743075" cy="279400"/>
                <wp:effectExtent l="0" t="0" r="9525" b="6350"/>
                <wp:wrapNone/>
                <wp:docPr id="45" name="Text Box 45"/>
                <wp:cNvGraphicFramePr/>
                <a:graphic xmlns:a="http://schemas.openxmlformats.org/drawingml/2006/main">
                  <a:graphicData uri="http://schemas.microsoft.com/office/word/2010/wordprocessingShape">
                    <wps:wsp>
                      <wps:cNvSpPr txBox="1"/>
                      <wps:spPr>
                        <a:xfrm>
                          <a:off x="0" y="0"/>
                          <a:ext cx="174307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2BB4E" w14:textId="5D8F3826" w:rsidR="00753998" w:rsidRPr="0088361A" w:rsidRDefault="003857D4" w:rsidP="00704F86">
                            <w:pPr>
                              <w:jc w:val="center"/>
                              <w:rPr>
                                <w:rFonts w:ascii="Arial Bold" w:hAnsi="Arial Bold" w:cs="Arial"/>
                                <w:b/>
                                <w:color w:val="FFFFFF" w:themeColor="background1"/>
                                <w:sz w:val="24"/>
                                <w:szCs w:val="24"/>
                              </w:rPr>
                            </w:pPr>
                            <w:r>
                              <w:rPr>
                                <w:rFonts w:ascii="Arial Bold" w:hAnsi="Arial Bold" w:cs="Arial"/>
                                <w:b/>
                                <w:caps/>
                                <w:color w:val="FFFFFF" w:themeColor="background1"/>
                                <w:sz w:val="24"/>
                                <w:szCs w:val="24"/>
                              </w:rPr>
                              <w:t>RESEARCH REPORT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A18F1" id="_x0000_t202" coordsize="21600,21600" o:spt="202" path="m,l,21600r21600,l21600,xe">
                <v:stroke joinstyle="miter"/>
                <v:path gradientshapeok="t" o:connecttype="rect"/>
              </v:shapetype>
              <v:shape id="Text Box 45" o:spid="_x0000_s1026" type="#_x0000_t202" style="position:absolute;margin-left:367.1pt;margin-top:-43.9pt;width:137.2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" filled="f" stroked="f" strokeweight=".5pt">
                <v:textbox inset="1mm,0,1mm,0">
                  <w:txbxContent>
                    <w:p w14:paraId="0132BB4E" w14:textId="5D8F3826" w:rsidR="00753998" w:rsidRPr="0088361A" w:rsidRDefault="003857D4" w:rsidP="00704F86">
                      <w:pPr>
                        <w:jc w:val="center"/>
                        <w:rPr>
                          <w:rFonts w:ascii="Arial Bold" w:hAnsi="Arial Bold" w:cs="Arial"/>
                          <w:b/>
                          <w:color w:val="FFFFFF" w:themeColor="background1"/>
                          <w:sz w:val="24"/>
                          <w:szCs w:val="24"/>
                        </w:rPr>
                      </w:pPr>
                      <w:r>
                        <w:rPr>
                          <w:rFonts w:ascii="Arial Bold" w:hAnsi="Arial Bold" w:cs="Arial"/>
                          <w:b/>
                          <w:caps/>
                          <w:color w:val="FFFFFF" w:themeColor="background1"/>
                          <w:sz w:val="24"/>
                          <w:szCs w:val="24"/>
                        </w:rPr>
                        <w:t>RESEARCH REPORT</w:t>
                      </w:r>
                    </w:p>
                  </w:txbxContent>
                </v:textbox>
              </v:shape>
            </w:pict>
          </mc:Fallback>
        </mc:AlternateContent>
      </w:r>
      <w:r w:rsidRPr="00617370">
        <w:rPr>
          <w:noProof/>
          <w:lang w:eastAsia="en-AU"/>
        </w:rPr>
        <w:drawing>
          <wp:anchor distT="0" distB="0" distL="114300" distR="114300" simplePos="0" relativeHeight="251658249" behindDoc="1" locked="0" layoutInCell="1" allowOverlap="1" wp14:anchorId="770B3859" wp14:editId="23B230C2">
            <wp:simplePos x="0" y="0"/>
            <wp:positionH relativeFrom="page">
              <wp:align>center</wp:align>
            </wp:positionH>
            <wp:positionV relativeFrom="paragraph">
              <wp:posOffset>-662305</wp:posOffset>
            </wp:positionV>
            <wp:extent cx="7572375" cy="1447280"/>
            <wp:effectExtent l="0" t="0" r="0" b="635"/>
            <wp:wrapNone/>
            <wp:docPr id="22" name="Picture 22" descr="P:\PublicationComponents\logos\NCVER LOGOS\ColourBar\ColourTabsForResearchReports\ColourBar_Purple_RightTab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ColourBar\ColourTabsForResearchReports\ColourBar_Purple_RightTab_Resiz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44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370">
        <w:tab/>
      </w:r>
    </w:p>
    <w:p w14:paraId="52F79A1B" w14:textId="612E4343" w:rsidR="00EB0AD7" w:rsidRPr="00617370" w:rsidRDefault="00595D13" w:rsidP="00E92157">
      <w:pPr>
        <w:ind w:left="-964" w:right="-1020"/>
        <w:sectPr w:rsidR="00EB0AD7" w:rsidRPr="00617370" w:rsidSect="00E92157">
          <w:headerReference w:type="even" r:id="rId12"/>
          <w:headerReference w:type="default" r:id="rId13"/>
          <w:footerReference w:type="even" r:id="rId14"/>
          <w:footerReference w:type="default" r:id="rId15"/>
          <w:headerReference w:type="first" r:id="rId16"/>
          <w:footerReference w:type="first" r:id="rId17"/>
          <w:pgSz w:w="11907" w:h="16840" w:code="9"/>
          <w:pgMar w:top="1418" w:right="425" w:bottom="1134" w:left="1418" w:header="709" w:footer="556" w:gutter="0"/>
          <w:cols w:space="708"/>
          <w:docGrid w:linePitch="360"/>
        </w:sectPr>
      </w:pPr>
      <w:r w:rsidRPr="00617370">
        <w:rPr>
          <w:noProof/>
          <w:lang w:eastAsia="en-AU"/>
        </w:rPr>
        <w:drawing>
          <wp:anchor distT="0" distB="0" distL="114300" distR="114300" simplePos="0" relativeHeight="251658246" behindDoc="0" locked="0" layoutInCell="1" allowOverlap="1" wp14:anchorId="6758708F" wp14:editId="5F83EA80">
            <wp:simplePos x="0" y="0"/>
            <wp:positionH relativeFrom="column">
              <wp:posOffset>4579620</wp:posOffset>
            </wp:positionH>
            <wp:positionV relativeFrom="paragraph">
              <wp:posOffset>9046845</wp:posOffset>
            </wp:positionV>
            <wp:extent cx="1791335" cy="227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ER_Tagline.wmf"/>
                    <pic:cNvPicPr/>
                  </pic:nvPicPr>
                  <pic:blipFill>
                    <a:blip r:embed="rId18">
                      <a:extLst>
                        <a:ext uri="{28A0092B-C50C-407E-A947-70E740481C1C}">
                          <a14:useLocalDpi xmlns:a14="http://schemas.microsoft.com/office/drawing/2010/main" val="0"/>
                        </a:ext>
                      </a:extLst>
                    </a:blip>
                    <a:stretch>
                      <a:fillRect/>
                    </a:stretch>
                  </pic:blipFill>
                  <pic:spPr>
                    <a:xfrm>
                      <a:off x="0" y="0"/>
                      <a:ext cx="1791335" cy="227965"/>
                    </a:xfrm>
                    <a:prstGeom prst="rect">
                      <a:avLst/>
                    </a:prstGeom>
                  </pic:spPr>
                </pic:pic>
              </a:graphicData>
            </a:graphic>
            <wp14:sizeRelH relativeFrom="page">
              <wp14:pctWidth>0</wp14:pctWidth>
            </wp14:sizeRelH>
            <wp14:sizeRelV relativeFrom="page">
              <wp14:pctHeight>0</wp14:pctHeight>
            </wp14:sizeRelV>
          </wp:anchor>
        </w:drawing>
      </w:r>
      <w:r w:rsidR="00E92157" w:rsidRPr="00617370">
        <w:rPr>
          <w:noProof/>
          <w:lang w:eastAsia="en-AU"/>
        </w:rPr>
        <mc:AlternateContent>
          <mc:Choice Requires="wps">
            <w:drawing>
              <wp:anchor distT="0" distB="0" distL="114300" distR="114300" simplePos="0" relativeHeight="251658241" behindDoc="0" locked="0" layoutInCell="1" allowOverlap="1" wp14:anchorId="41D5A9E3" wp14:editId="46D75674">
                <wp:simplePos x="0" y="0"/>
                <wp:positionH relativeFrom="margin">
                  <wp:align>right</wp:align>
                </wp:positionH>
                <wp:positionV relativeFrom="paragraph">
                  <wp:posOffset>633095</wp:posOffset>
                </wp:positionV>
                <wp:extent cx="7077075" cy="824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7075" cy="824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D35F0" w14:textId="2D7D4227" w:rsidR="003857D4" w:rsidRDefault="00274B90" w:rsidP="003857D4">
                            <w:pPr>
                              <w:pStyle w:val="Titlepage"/>
                              <w:spacing w:after="0"/>
                              <w:ind w:left="0"/>
                              <w:rPr>
                                <w:b/>
                                <w:color w:val="595959" w:themeColor="text1" w:themeTint="A6"/>
                                <w:sz w:val="27"/>
                                <w:szCs w:val="27"/>
                              </w:rPr>
                            </w:pPr>
                            <w:r w:rsidRPr="00274B90">
                              <w:rPr>
                                <w:b/>
                                <w:color w:val="0081C6"/>
                              </w:rPr>
                              <w:t>Is the die cast? Investigating the relationship between prior academic achievement and tertiary entrance performance</w:t>
                            </w:r>
                          </w:p>
                          <w:p w14:paraId="463DC197" w14:textId="77777777" w:rsidR="00FC1100" w:rsidRDefault="00FC1100" w:rsidP="00812DE7">
                            <w:pPr>
                              <w:pStyle w:val="Titlepage"/>
                              <w:spacing w:after="120"/>
                              <w:ind w:left="0"/>
                              <w:rPr>
                                <w:b/>
                                <w:color w:val="595959" w:themeColor="text1" w:themeTint="A6"/>
                                <w:sz w:val="27"/>
                                <w:szCs w:val="27"/>
                              </w:rPr>
                            </w:pPr>
                          </w:p>
                          <w:p w14:paraId="3130DF3A" w14:textId="45960D12" w:rsidR="009A56E4" w:rsidRDefault="009A56E4" w:rsidP="003857D4">
                            <w:pPr>
                              <w:pStyle w:val="Titlepage"/>
                              <w:spacing w:after="0"/>
                              <w:ind w:left="0"/>
                              <w:rPr>
                                <w:b/>
                                <w:color w:val="595959" w:themeColor="text1" w:themeTint="A6"/>
                                <w:sz w:val="27"/>
                                <w:szCs w:val="27"/>
                              </w:rPr>
                            </w:pPr>
                            <w:r>
                              <w:rPr>
                                <w:b/>
                                <w:color w:val="595959" w:themeColor="text1" w:themeTint="A6"/>
                                <w:sz w:val="27"/>
                                <w:szCs w:val="27"/>
                              </w:rPr>
                              <w:t>Ronnie Semo</w:t>
                            </w:r>
                          </w:p>
                          <w:p w14:paraId="1F187BC7" w14:textId="59EA2351" w:rsidR="003857D4" w:rsidRDefault="003857D4" w:rsidP="003857D4">
                            <w:pPr>
                              <w:pStyle w:val="Titlepage"/>
                              <w:spacing w:after="0"/>
                              <w:ind w:left="0"/>
                              <w:rPr>
                                <w:b/>
                                <w:color w:val="595959" w:themeColor="text1" w:themeTint="A6"/>
                                <w:sz w:val="27"/>
                                <w:szCs w:val="27"/>
                              </w:rPr>
                            </w:pPr>
                            <w:r>
                              <w:rPr>
                                <w:b/>
                                <w:color w:val="595959" w:themeColor="text1" w:themeTint="A6"/>
                                <w:sz w:val="27"/>
                                <w:szCs w:val="27"/>
                              </w:rPr>
                              <w:t>Emerick Chew</w:t>
                            </w:r>
                          </w:p>
                          <w:p w14:paraId="791EF3F5" w14:textId="2DB957F3" w:rsidR="007E6143" w:rsidRDefault="007E6143" w:rsidP="003857D4">
                            <w:pPr>
                              <w:pStyle w:val="Titlepage"/>
                              <w:spacing w:after="0"/>
                              <w:ind w:left="0"/>
                              <w:rPr>
                                <w:b/>
                                <w:color w:val="595959" w:themeColor="text1" w:themeTint="A6"/>
                                <w:sz w:val="27"/>
                                <w:szCs w:val="27"/>
                              </w:rPr>
                            </w:pPr>
                            <w:r>
                              <w:rPr>
                                <w:b/>
                                <w:color w:val="595959" w:themeColor="text1" w:themeTint="A6"/>
                                <w:sz w:val="27"/>
                                <w:szCs w:val="27"/>
                              </w:rPr>
                              <w:t>Kate Dowling</w:t>
                            </w:r>
                          </w:p>
                          <w:p w14:paraId="53E0886D" w14:textId="5B214FB8" w:rsidR="00753998" w:rsidRDefault="003857D4" w:rsidP="003857D4">
                            <w:pPr>
                              <w:pStyle w:val="Titlepage"/>
                              <w:spacing w:after="0"/>
                              <w:ind w:left="0"/>
                              <w:rPr>
                                <w:b/>
                                <w:color w:val="595959" w:themeColor="text1" w:themeTint="A6"/>
                                <w:sz w:val="27"/>
                                <w:szCs w:val="27"/>
                              </w:rPr>
                            </w:pPr>
                            <w:r>
                              <w:rPr>
                                <w:b/>
                                <w:color w:val="595959" w:themeColor="text1" w:themeTint="A6"/>
                                <w:sz w:val="27"/>
                                <w:szCs w:val="27"/>
                              </w:rPr>
                              <w:t>Cameron Forrest</w:t>
                            </w:r>
                          </w:p>
                          <w:p w14:paraId="6CCBCC52" w14:textId="77777777" w:rsidR="00AA0743" w:rsidRDefault="00AA0743" w:rsidP="00AA0743">
                            <w:pPr>
                              <w:pStyle w:val="Titlepage"/>
                              <w:spacing w:after="0"/>
                              <w:ind w:left="0"/>
                              <w:rPr>
                                <w:b/>
                                <w:color w:val="595959" w:themeColor="text1" w:themeTint="A6"/>
                                <w:sz w:val="27"/>
                                <w:szCs w:val="27"/>
                              </w:rPr>
                            </w:pPr>
                            <w:r>
                              <w:rPr>
                                <w:b/>
                                <w:color w:val="595959" w:themeColor="text1" w:themeTint="A6"/>
                                <w:sz w:val="27"/>
                                <w:szCs w:val="27"/>
                              </w:rPr>
                              <w:t>Somayeh Parvazian</w:t>
                            </w:r>
                          </w:p>
                          <w:p w14:paraId="67DE9DBB" w14:textId="0BC8CDA9" w:rsidR="00753998" w:rsidRDefault="00FA16EF" w:rsidP="004E1A1B">
                            <w:pPr>
                              <w:pStyle w:val="Titlepage"/>
                              <w:spacing w:after="0"/>
                              <w:ind w:left="0"/>
                              <w:rPr>
                                <w:color w:val="595959" w:themeColor="text1" w:themeTint="A6"/>
                                <w:sz w:val="27"/>
                                <w:szCs w:val="27"/>
                              </w:rPr>
                            </w:pPr>
                            <w:r>
                              <w:rPr>
                                <w:color w:val="595959" w:themeColor="text1" w:themeTint="A6"/>
                                <w:sz w:val="27"/>
                                <w:szCs w:val="27"/>
                              </w:rPr>
                              <w:br/>
                            </w:r>
                            <w:r w:rsidR="003857D4">
                              <w:rPr>
                                <w:color w:val="595959" w:themeColor="text1" w:themeTint="A6"/>
                                <w:sz w:val="27"/>
                                <w:szCs w:val="27"/>
                              </w:rPr>
                              <w:t>N</w:t>
                            </w:r>
                            <w:r w:rsidR="00ED2F6F">
                              <w:rPr>
                                <w:color w:val="595959" w:themeColor="text1" w:themeTint="A6"/>
                                <w:sz w:val="27"/>
                                <w:szCs w:val="27"/>
                              </w:rPr>
                              <w:t xml:space="preserve">ational </w:t>
                            </w:r>
                            <w:r w:rsidR="003857D4">
                              <w:rPr>
                                <w:color w:val="595959" w:themeColor="text1" w:themeTint="A6"/>
                                <w:sz w:val="27"/>
                                <w:szCs w:val="27"/>
                              </w:rPr>
                              <w:t>C</w:t>
                            </w:r>
                            <w:r w:rsidR="00ED2F6F">
                              <w:rPr>
                                <w:color w:val="595959" w:themeColor="text1" w:themeTint="A6"/>
                                <w:sz w:val="27"/>
                                <w:szCs w:val="27"/>
                              </w:rPr>
                              <w:t xml:space="preserve">entre for </w:t>
                            </w:r>
                            <w:r w:rsidR="003857D4">
                              <w:rPr>
                                <w:color w:val="595959" w:themeColor="text1" w:themeTint="A6"/>
                                <w:sz w:val="27"/>
                                <w:szCs w:val="27"/>
                              </w:rPr>
                              <w:t>V</w:t>
                            </w:r>
                            <w:r w:rsidR="00ED2F6F">
                              <w:rPr>
                                <w:color w:val="595959" w:themeColor="text1" w:themeTint="A6"/>
                                <w:sz w:val="27"/>
                                <w:szCs w:val="27"/>
                              </w:rPr>
                              <w:t xml:space="preserve">ocational </w:t>
                            </w:r>
                            <w:r w:rsidR="003857D4">
                              <w:rPr>
                                <w:color w:val="595959" w:themeColor="text1" w:themeTint="A6"/>
                                <w:sz w:val="27"/>
                                <w:szCs w:val="27"/>
                              </w:rPr>
                              <w:t>E</w:t>
                            </w:r>
                            <w:r w:rsidR="00ED2F6F">
                              <w:rPr>
                                <w:color w:val="595959" w:themeColor="text1" w:themeTint="A6"/>
                                <w:sz w:val="27"/>
                                <w:szCs w:val="27"/>
                              </w:rPr>
                              <w:t xml:space="preserve">ducation </w:t>
                            </w:r>
                            <w:r w:rsidR="003857D4">
                              <w:rPr>
                                <w:color w:val="595959" w:themeColor="text1" w:themeTint="A6"/>
                                <w:sz w:val="27"/>
                                <w:szCs w:val="27"/>
                              </w:rPr>
                              <w:t>R</w:t>
                            </w:r>
                            <w:r w:rsidR="00ED2F6F">
                              <w:rPr>
                                <w:color w:val="595959" w:themeColor="text1" w:themeTint="A6"/>
                                <w:sz w:val="27"/>
                                <w:szCs w:val="27"/>
                              </w:rPr>
                              <w:t>esearch</w:t>
                            </w:r>
                          </w:p>
                          <w:p w14:paraId="0ED57F50" w14:textId="77777777" w:rsidR="00E92157" w:rsidRDefault="00E92157" w:rsidP="004E1A1B">
                            <w:pPr>
                              <w:pStyle w:val="Titlepage"/>
                              <w:spacing w:after="0"/>
                              <w:ind w:left="0"/>
                              <w:rPr>
                                <w:color w:val="595959" w:themeColor="text1" w:themeTint="A6"/>
                                <w:sz w:val="27"/>
                                <w:szCs w:val="27"/>
                              </w:rPr>
                            </w:pPr>
                          </w:p>
                          <w:p w14:paraId="61C5077A" w14:textId="5EBCB759" w:rsidR="00E92157" w:rsidRDefault="00E92157" w:rsidP="004E1A1B">
                            <w:pPr>
                              <w:pStyle w:val="Titlepage"/>
                              <w:spacing w:after="0"/>
                              <w:ind w:left="0"/>
                              <w:rPr>
                                <w:color w:val="595959" w:themeColor="text1" w:themeTint="A6"/>
                                <w:sz w:val="27"/>
                                <w:szCs w:val="27"/>
                              </w:rPr>
                            </w:pPr>
                            <w:r>
                              <w:rPr>
                                <w:noProof/>
                                <w:lang w:eastAsia="en-AU"/>
                              </w:rPr>
                              <w:drawing>
                                <wp:inline distT="0" distB="0" distL="0" distR="0" wp14:anchorId="08D2BDFB" wp14:editId="385999ED">
                                  <wp:extent cx="6915150" cy="4784537"/>
                                  <wp:effectExtent l="0" t="0" r="0" b="0"/>
                                  <wp:docPr id="1370025802" name="Picture 3" descr="A young teenager walking with friends while at school holding a book and smil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25802" name="Picture 3" descr="A young teenager walking with friends while at school holding a book and smiling&#10;&#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917912" cy="47864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5A9E3" id="_x0000_t202" coordsize="21600,21600" o:spt="202" path="m,l,21600r21600,l21600,xe">
                <v:stroke joinstyle="miter"/>
                <v:path gradientshapeok="t" o:connecttype="rect"/>
              </v:shapetype>
              <v:shape id="Text Box 3" o:spid="_x0000_s1027" type="#_x0000_t202" style="position:absolute;left:0;text-align:left;margin-left:506.05pt;margin-top:49.85pt;width:557.25pt;height:64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" filled="f" stroked="f" strokeweight=".5pt">
                <v:textbox inset=",,,0">
                  <w:txbxContent>
                    <w:p w14:paraId="64ED35F0" w14:textId="2D7D4227" w:rsidR="003857D4" w:rsidRDefault="00274B90" w:rsidP="003857D4">
                      <w:pPr>
                        <w:pStyle w:val="Titlepage"/>
                        <w:spacing w:after="0"/>
                        <w:ind w:left="0"/>
                        <w:rPr>
                          <w:b/>
                          <w:color w:val="595959" w:themeColor="text1" w:themeTint="A6"/>
                          <w:sz w:val="27"/>
                          <w:szCs w:val="27"/>
                        </w:rPr>
                      </w:pPr>
                      <w:r w:rsidRPr="00274B90">
                        <w:rPr>
                          <w:b/>
                          <w:color w:val="0081C6"/>
                        </w:rPr>
                        <w:t>Is the die cast? Investigating the relationship between prior academic achievement and tertiary entrance performance</w:t>
                      </w:r>
                    </w:p>
                    <w:p w14:paraId="463DC197" w14:textId="77777777" w:rsidR="00FC1100" w:rsidRDefault="00FC1100" w:rsidP="00812DE7">
                      <w:pPr>
                        <w:pStyle w:val="Titlepage"/>
                        <w:spacing w:after="120"/>
                        <w:ind w:left="0"/>
                        <w:rPr>
                          <w:b/>
                          <w:color w:val="595959" w:themeColor="text1" w:themeTint="A6"/>
                          <w:sz w:val="27"/>
                          <w:szCs w:val="27"/>
                        </w:rPr>
                      </w:pPr>
                    </w:p>
                    <w:p w14:paraId="3130DF3A" w14:textId="45960D12" w:rsidR="009A56E4" w:rsidRDefault="009A56E4" w:rsidP="003857D4">
                      <w:pPr>
                        <w:pStyle w:val="Titlepage"/>
                        <w:spacing w:after="0"/>
                        <w:ind w:left="0"/>
                        <w:rPr>
                          <w:b/>
                          <w:color w:val="595959" w:themeColor="text1" w:themeTint="A6"/>
                          <w:sz w:val="27"/>
                          <w:szCs w:val="27"/>
                        </w:rPr>
                      </w:pPr>
                      <w:r>
                        <w:rPr>
                          <w:b/>
                          <w:color w:val="595959" w:themeColor="text1" w:themeTint="A6"/>
                          <w:sz w:val="27"/>
                          <w:szCs w:val="27"/>
                        </w:rPr>
                        <w:t>Ronnie Semo</w:t>
                      </w:r>
                    </w:p>
                    <w:p w14:paraId="1F187BC7" w14:textId="59EA2351" w:rsidR="003857D4" w:rsidRDefault="003857D4" w:rsidP="003857D4">
                      <w:pPr>
                        <w:pStyle w:val="Titlepage"/>
                        <w:spacing w:after="0"/>
                        <w:ind w:left="0"/>
                        <w:rPr>
                          <w:b/>
                          <w:color w:val="595959" w:themeColor="text1" w:themeTint="A6"/>
                          <w:sz w:val="27"/>
                          <w:szCs w:val="27"/>
                        </w:rPr>
                      </w:pPr>
                      <w:r>
                        <w:rPr>
                          <w:b/>
                          <w:color w:val="595959" w:themeColor="text1" w:themeTint="A6"/>
                          <w:sz w:val="27"/>
                          <w:szCs w:val="27"/>
                        </w:rPr>
                        <w:t>Emerick Chew</w:t>
                      </w:r>
                    </w:p>
                    <w:p w14:paraId="791EF3F5" w14:textId="2DB957F3" w:rsidR="007E6143" w:rsidRDefault="007E6143" w:rsidP="003857D4">
                      <w:pPr>
                        <w:pStyle w:val="Titlepage"/>
                        <w:spacing w:after="0"/>
                        <w:ind w:left="0"/>
                        <w:rPr>
                          <w:b/>
                          <w:color w:val="595959" w:themeColor="text1" w:themeTint="A6"/>
                          <w:sz w:val="27"/>
                          <w:szCs w:val="27"/>
                        </w:rPr>
                      </w:pPr>
                      <w:r>
                        <w:rPr>
                          <w:b/>
                          <w:color w:val="595959" w:themeColor="text1" w:themeTint="A6"/>
                          <w:sz w:val="27"/>
                          <w:szCs w:val="27"/>
                        </w:rPr>
                        <w:t>Kate Dowling</w:t>
                      </w:r>
                    </w:p>
                    <w:p w14:paraId="53E0886D" w14:textId="5B214FB8" w:rsidR="00753998" w:rsidRDefault="003857D4" w:rsidP="003857D4">
                      <w:pPr>
                        <w:pStyle w:val="Titlepage"/>
                        <w:spacing w:after="0"/>
                        <w:ind w:left="0"/>
                        <w:rPr>
                          <w:b/>
                          <w:color w:val="595959" w:themeColor="text1" w:themeTint="A6"/>
                          <w:sz w:val="27"/>
                          <w:szCs w:val="27"/>
                        </w:rPr>
                      </w:pPr>
                      <w:r>
                        <w:rPr>
                          <w:b/>
                          <w:color w:val="595959" w:themeColor="text1" w:themeTint="A6"/>
                          <w:sz w:val="27"/>
                          <w:szCs w:val="27"/>
                        </w:rPr>
                        <w:t>Cameron Forrest</w:t>
                      </w:r>
                    </w:p>
                    <w:p w14:paraId="6CCBCC52" w14:textId="77777777" w:rsidR="00AA0743" w:rsidRDefault="00AA0743" w:rsidP="00AA0743">
                      <w:pPr>
                        <w:pStyle w:val="Titlepage"/>
                        <w:spacing w:after="0"/>
                        <w:ind w:left="0"/>
                        <w:rPr>
                          <w:b/>
                          <w:color w:val="595959" w:themeColor="text1" w:themeTint="A6"/>
                          <w:sz w:val="27"/>
                          <w:szCs w:val="27"/>
                        </w:rPr>
                      </w:pPr>
                      <w:r>
                        <w:rPr>
                          <w:b/>
                          <w:color w:val="595959" w:themeColor="text1" w:themeTint="A6"/>
                          <w:sz w:val="27"/>
                          <w:szCs w:val="27"/>
                        </w:rPr>
                        <w:t>Somayeh Parvazian</w:t>
                      </w:r>
                    </w:p>
                    <w:p w14:paraId="67DE9DBB" w14:textId="0BC8CDA9" w:rsidR="00753998" w:rsidRDefault="00FA16EF" w:rsidP="004E1A1B">
                      <w:pPr>
                        <w:pStyle w:val="Titlepage"/>
                        <w:spacing w:after="0"/>
                        <w:ind w:left="0"/>
                        <w:rPr>
                          <w:color w:val="595959" w:themeColor="text1" w:themeTint="A6"/>
                          <w:sz w:val="27"/>
                          <w:szCs w:val="27"/>
                        </w:rPr>
                      </w:pPr>
                      <w:r>
                        <w:rPr>
                          <w:color w:val="595959" w:themeColor="text1" w:themeTint="A6"/>
                          <w:sz w:val="27"/>
                          <w:szCs w:val="27"/>
                        </w:rPr>
                        <w:br/>
                      </w:r>
                      <w:r w:rsidR="003857D4">
                        <w:rPr>
                          <w:color w:val="595959" w:themeColor="text1" w:themeTint="A6"/>
                          <w:sz w:val="27"/>
                          <w:szCs w:val="27"/>
                        </w:rPr>
                        <w:t>N</w:t>
                      </w:r>
                      <w:r w:rsidR="00ED2F6F">
                        <w:rPr>
                          <w:color w:val="595959" w:themeColor="text1" w:themeTint="A6"/>
                          <w:sz w:val="27"/>
                          <w:szCs w:val="27"/>
                        </w:rPr>
                        <w:t xml:space="preserve">ational </w:t>
                      </w:r>
                      <w:r w:rsidR="003857D4">
                        <w:rPr>
                          <w:color w:val="595959" w:themeColor="text1" w:themeTint="A6"/>
                          <w:sz w:val="27"/>
                          <w:szCs w:val="27"/>
                        </w:rPr>
                        <w:t>C</w:t>
                      </w:r>
                      <w:r w:rsidR="00ED2F6F">
                        <w:rPr>
                          <w:color w:val="595959" w:themeColor="text1" w:themeTint="A6"/>
                          <w:sz w:val="27"/>
                          <w:szCs w:val="27"/>
                        </w:rPr>
                        <w:t xml:space="preserve">entre for </w:t>
                      </w:r>
                      <w:r w:rsidR="003857D4">
                        <w:rPr>
                          <w:color w:val="595959" w:themeColor="text1" w:themeTint="A6"/>
                          <w:sz w:val="27"/>
                          <w:szCs w:val="27"/>
                        </w:rPr>
                        <w:t>V</w:t>
                      </w:r>
                      <w:r w:rsidR="00ED2F6F">
                        <w:rPr>
                          <w:color w:val="595959" w:themeColor="text1" w:themeTint="A6"/>
                          <w:sz w:val="27"/>
                          <w:szCs w:val="27"/>
                        </w:rPr>
                        <w:t xml:space="preserve">ocational </w:t>
                      </w:r>
                      <w:r w:rsidR="003857D4">
                        <w:rPr>
                          <w:color w:val="595959" w:themeColor="text1" w:themeTint="A6"/>
                          <w:sz w:val="27"/>
                          <w:szCs w:val="27"/>
                        </w:rPr>
                        <w:t>E</w:t>
                      </w:r>
                      <w:r w:rsidR="00ED2F6F">
                        <w:rPr>
                          <w:color w:val="595959" w:themeColor="text1" w:themeTint="A6"/>
                          <w:sz w:val="27"/>
                          <w:szCs w:val="27"/>
                        </w:rPr>
                        <w:t xml:space="preserve">ducation </w:t>
                      </w:r>
                      <w:r w:rsidR="003857D4">
                        <w:rPr>
                          <w:color w:val="595959" w:themeColor="text1" w:themeTint="A6"/>
                          <w:sz w:val="27"/>
                          <w:szCs w:val="27"/>
                        </w:rPr>
                        <w:t>R</w:t>
                      </w:r>
                      <w:r w:rsidR="00ED2F6F">
                        <w:rPr>
                          <w:color w:val="595959" w:themeColor="text1" w:themeTint="A6"/>
                          <w:sz w:val="27"/>
                          <w:szCs w:val="27"/>
                        </w:rPr>
                        <w:t>esearch</w:t>
                      </w:r>
                    </w:p>
                    <w:p w14:paraId="0ED57F50" w14:textId="77777777" w:rsidR="00E92157" w:rsidRDefault="00E92157" w:rsidP="004E1A1B">
                      <w:pPr>
                        <w:pStyle w:val="Titlepage"/>
                        <w:spacing w:after="0"/>
                        <w:ind w:left="0"/>
                        <w:rPr>
                          <w:color w:val="595959" w:themeColor="text1" w:themeTint="A6"/>
                          <w:sz w:val="27"/>
                          <w:szCs w:val="27"/>
                        </w:rPr>
                      </w:pPr>
                    </w:p>
                    <w:p w14:paraId="61C5077A" w14:textId="5EBCB759" w:rsidR="00E92157" w:rsidRDefault="00E92157" w:rsidP="004E1A1B">
                      <w:pPr>
                        <w:pStyle w:val="Titlepage"/>
                        <w:spacing w:after="0"/>
                        <w:ind w:left="0"/>
                        <w:rPr>
                          <w:color w:val="595959" w:themeColor="text1" w:themeTint="A6"/>
                          <w:sz w:val="27"/>
                          <w:szCs w:val="27"/>
                        </w:rPr>
                      </w:pPr>
                      <w:r>
                        <w:rPr>
                          <w:noProof/>
                          <w:lang w:eastAsia="en-AU"/>
                        </w:rPr>
                        <w:drawing>
                          <wp:inline distT="0" distB="0" distL="0" distR="0" wp14:anchorId="08D2BDFB" wp14:editId="385999ED">
                            <wp:extent cx="6915150" cy="4784537"/>
                            <wp:effectExtent l="0" t="0" r="0" b="0"/>
                            <wp:docPr id="1370025802" name="Picture 3" descr="A young teenager walking with friends while at school holding a book and smil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25802" name="Picture 3" descr="A young teenager walking with friends while at school holding a book and smiling&#10;&#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917912" cy="4786448"/>
                                    </a:xfrm>
                                    <a:prstGeom prst="rect">
                                      <a:avLst/>
                                    </a:prstGeom>
                                    <a:noFill/>
                                    <a:ln>
                                      <a:noFill/>
                                    </a:ln>
                                  </pic:spPr>
                                </pic:pic>
                              </a:graphicData>
                            </a:graphic>
                          </wp:inline>
                        </w:drawing>
                      </w:r>
                    </w:p>
                  </w:txbxContent>
                </v:textbox>
                <w10:wrap anchorx="margin"/>
              </v:shape>
            </w:pict>
          </mc:Fallback>
        </mc:AlternateContent>
      </w:r>
      <w:r w:rsidR="00FC1100" w:rsidRPr="00617370">
        <w:rPr>
          <w:noProof/>
          <w:lang w:eastAsia="en-AU"/>
        </w:rPr>
        <mc:AlternateContent>
          <mc:Choice Requires="wps">
            <w:drawing>
              <wp:anchor distT="0" distB="0" distL="114300" distR="114300" simplePos="0" relativeHeight="251658242" behindDoc="0" locked="0" layoutInCell="1" allowOverlap="1" wp14:anchorId="6527894F" wp14:editId="4531E129">
                <wp:simplePos x="0" y="0"/>
                <wp:positionH relativeFrom="column">
                  <wp:posOffset>-572770</wp:posOffset>
                </wp:positionH>
                <wp:positionV relativeFrom="paragraph">
                  <wp:posOffset>2411730</wp:posOffset>
                </wp:positionV>
                <wp:extent cx="21158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1582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2B3C336" id="Straight Connector 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45.1pt,189.9pt" to="121.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" strokecolor="black [3213]" strokeweight="1pt"/>
            </w:pict>
          </mc:Fallback>
        </mc:AlternateContent>
      </w:r>
      <w:bookmarkEnd w:id="0"/>
      <w:bookmarkEnd w:id="1"/>
      <w:r w:rsidR="00D056F3" w:rsidRPr="00617370">
        <w:br w:type="page"/>
      </w:r>
      <w:bookmarkStart w:id="3" w:name="_Toc495748330"/>
      <w:bookmarkStart w:id="4" w:name="_Toc495810630"/>
      <w:bookmarkStart w:id="5" w:name="_Toc6031787"/>
      <w:bookmarkStart w:id="6" w:name="_Toc6031844"/>
      <w:bookmarkEnd w:id="2"/>
    </w:p>
    <w:p w14:paraId="7FDFF025" w14:textId="77777777" w:rsidR="007C667B" w:rsidRPr="00617370" w:rsidRDefault="007C667B" w:rsidP="007C667B">
      <w:pPr>
        <w:pStyle w:val="Heading3"/>
        <w:ind w:right="-1"/>
      </w:pPr>
      <w:bookmarkStart w:id="7" w:name="_Toc98394880"/>
      <w:bookmarkStart w:id="8" w:name="_Toc296423683"/>
      <w:bookmarkStart w:id="9" w:name="_Toc296497514"/>
      <w:r w:rsidRPr="00617370">
        <w:lastRenderedPageBreak/>
        <w:t>Publisher’s note</w:t>
      </w:r>
    </w:p>
    <w:p w14:paraId="5350AAC6" w14:textId="77777777" w:rsidR="00FE792E" w:rsidRPr="00617370" w:rsidRDefault="00FE792E" w:rsidP="00FE792E">
      <w:pPr>
        <w:pStyle w:val="Imprint"/>
      </w:pPr>
      <w:r w:rsidRPr="00617370">
        <w:t>The views and opinions expressed in this document are those of NCVER and do not necessarily reflect the views of the Australian Government, or state and territory governments. Any interpretation of data is the responsibility of the author/project team.</w:t>
      </w:r>
    </w:p>
    <w:p w14:paraId="17492135" w14:textId="1ED6487A" w:rsidR="00FE792E" w:rsidRPr="00617370" w:rsidRDefault="00FE792E" w:rsidP="00FE792E">
      <w:pPr>
        <w:pStyle w:val="Imprint"/>
        <w:ind w:right="-1"/>
      </w:pPr>
      <w:r w:rsidRPr="00617370">
        <w:t>To find other material of interest, search VOCEDplus (the UNESCO/NCVER international database &lt;</w:t>
      </w:r>
      <w:hyperlink r:id="rId20" w:history="1">
        <w:r w:rsidRPr="00617370">
          <w:t>http://www.voced.edu.au</w:t>
        </w:r>
      </w:hyperlink>
      <w:r w:rsidRPr="00617370">
        <w:t xml:space="preserve">&gt;) using the following keywords: </w:t>
      </w:r>
      <w:r w:rsidR="00DC7E08" w:rsidRPr="00617370">
        <w:t>Achievement; Assessment; Attainment; Completion; Data analysis; Dropout; Educational indicator; Equity; Gender; Higher education; Indigenous people; Language; Literacy; Longitudinal data; Numeracy; Outcomes of education and training; Participation; Performance; Primary education; School; Secondary education; Socioeconomic background; Students.</w:t>
      </w:r>
    </w:p>
    <w:p w14:paraId="67860C11" w14:textId="77777777" w:rsidR="00FE792E" w:rsidRPr="00617370" w:rsidRDefault="00FE792E" w:rsidP="007C667B">
      <w:pPr>
        <w:pStyle w:val="Imprint"/>
      </w:pPr>
    </w:p>
    <w:p w14:paraId="691E3BF5" w14:textId="77777777" w:rsidR="004F7290" w:rsidRPr="00617370" w:rsidRDefault="004F7290" w:rsidP="007C667B"/>
    <w:p w14:paraId="3B5A7F48" w14:textId="77777777" w:rsidR="004F7290" w:rsidRPr="00617370" w:rsidRDefault="004F7290" w:rsidP="007C667B"/>
    <w:p w14:paraId="1F4A9C21" w14:textId="3046C37C" w:rsidR="004F7290" w:rsidRPr="00617370" w:rsidRDefault="004F7290" w:rsidP="007C667B"/>
    <w:p w14:paraId="1E803D75" w14:textId="23510A45" w:rsidR="004F7290" w:rsidRPr="00617370" w:rsidRDefault="00F6294F" w:rsidP="007C667B">
      <w:r w:rsidRPr="00617370">
        <w:rPr>
          <w:noProof/>
          <w:lang w:eastAsia="en-AU"/>
        </w:rPr>
        <mc:AlternateContent>
          <mc:Choice Requires="wps">
            <w:drawing>
              <wp:anchor distT="0" distB="0" distL="114300" distR="114300" simplePos="0" relativeHeight="251658243" behindDoc="0" locked="0" layoutInCell="1" allowOverlap="1" wp14:anchorId="55CE88B7" wp14:editId="5A2EBF0F">
                <wp:simplePos x="0" y="0"/>
                <wp:positionH relativeFrom="margin">
                  <wp:align>left</wp:align>
                </wp:positionH>
                <wp:positionV relativeFrom="paragraph">
                  <wp:posOffset>255905</wp:posOffset>
                </wp:positionV>
                <wp:extent cx="5596890" cy="64389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643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AC21" w14:textId="0B3F7537" w:rsidR="00753998" w:rsidRPr="00A021FC" w:rsidRDefault="00753998" w:rsidP="007C667B">
                            <w:pPr>
                              <w:pStyle w:val="Imprint"/>
                              <w:rPr>
                                <w:b/>
                              </w:rPr>
                            </w:pPr>
                            <w:r w:rsidRPr="00A021FC">
                              <w:rPr>
                                <w:b/>
                              </w:rPr>
                              <w:t xml:space="preserve">© </w:t>
                            </w:r>
                            <w:r w:rsidRPr="008C3142">
                              <w:rPr>
                                <w:b/>
                              </w:rPr>
                              <w:t>Commonwealth of Australia</w:t>
                            </w:r>
                            <w:r w:rsidRPr="00A021FC">
                              <w:rPr>
                                <w:b/>
                              </w:rPr>
                              <w:t>,</w:t>
                            </w:r>
                            <w:r w:rsidR="00296478">
                              <w:rPr>
                                <w:b/>
                              </w:rPr>
                              <w:t xml:space="preserve"> 2024</w:t>
                            </w:r>
                          </w:p>
                          <w:p w14:paraId="1D525BD6" w14:textId="77777777" w:rsidR="00753998" w:rsidRDefault="00753998" w:rsidP="007C667B">
                            <w:pPr>
                              <w:pStyle w:val="Imprint"/>
                              <w:rPr>
                                <w:sz w:val="20"/>
                              </w:rPr>
                            </w:pPr>
                            <w:r w:rsidRPr="00E80270">
                              <w:rPr>
                                <w:noProof/>
                                <w:sz w:val="20"/>
                                <w:lang w:eastAsia="en-AU"/>
                              </w:rPr>
                              <w:drawing>
                                <wp:inline distT="0" distB="0" distL="0" distR="0" wp14:anchorId="20FFA1D1" wp14:editId="09EFA3F9">
                                  <wp:extent cx="850265" cy="302895"/>
                                  <wp:effectExtent l="19050" t="0" r="6985" b="0"/>
                                  <wp:docPr id="186540403" name="Picture 18654040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2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7B99DF27" w14:textId="77777777" w:rsidR="001D321A" w:rsidRDefault="001D321A" w:rsidP="001D321A">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5912E722" w14:textId="77777777" w:rsidR="001D321A" w:rsidRPr="001D321A" w:rsidRDefault="001D321A" w:rsidP="001D321A">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539E8E1" w14:textId="77777777" w:rsidR="001D321A" w:rsidRDefault="001D321A" w:rsidP="001D321A">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59A7DE4C" w14:textId="1774D4FD" w:rsidR="001D321A" w:rsidRPr="00A021FC" w:rsidRDefault="001D321A" w:rsidP="001D321A">
                            <w:pPr>
                              <w:pStyle w:val="Imprint"/>
                            </w:pPr>
                            <w:r w:rsidRPr="00A021FC">
                              <w:t xml:space="preserve">This document should be </w:t>
                            </w:r>
                            <w:r w:rsidRPr="003F0E7E">
                              <w:t xml:space="preserve">attributed as </w:t>
                            </w:r>
                            <w:r w:rsidR="003E082B">
                              <w:t>Semo, R,</w:t>
                            </w:r>
                            <w:r w:rsidR="005E484B">
                              <w:t xml:space="preserve"> Chew, E, Dowling, K,</w:t>
                            </w:r>
                            <w:r w:rsidR="007D39B1">
                              <w:t xml:space="preserve"> Forrest, C &amp; Parvazian,</w:t>
                            </w:r>
                            <w:r w:rsidR="000449EF">
                              <w:t xml:space="preserve"> S</w:t>
                            </w:r>
                            <w:r w:rsidR="007E530B">
                              <w:t xml:space="preserve"> 2024,</w:t>
                            </w:r>
                            <w:r w:rsidR="000449EF">
                              <w:t xml:space="preserve"> </w:t>
                            </w:r>
                            <w:r w:rsidR="000449EF">
                              <w:rPr>
                                <w:i/>
                                <w:iCs/>
                              </w:rPr>
                              <w:t>Is the die cast</w:t>
                            </w:r>
                            <w:r w:rsidR="00297D1A">
                              <w:rPr>
                                <w:i/>
                                <w:iCs/>
                              </w:rPr>
                              <w:t>?</w:t>
                            </w:r>
                            <w:r w:rsidR="000449EF">
                              <w:rPr>
                                <w:i/>
                                <w:iCs/>
                              </w:rPr>
                              <w:t xml:space="preserve"> Investigating</w:t>
                            </w:r>
                            <w:r w:rsidR="00746586">
                              <w:rPr>
                                <w:i/>
                                <w:iCs/>
                              </w:rPr>
                              <w:t xml:space="preserve"> </w:t>
                            </w:r>
                            <w:r w:rsidR="00746586" w:rsidRPr="005B69B7">
                              <w:rPr>
                                <w:i/>
                                <w:iCs/>
                              </w:rPr>
                              <w:t>the relationship between prior academic achievement and</w:t>
                            </w:r>
                            <w:r w:rsidR="007E530B" w:rsidRPr="005B69B7">
                              <w:rPr>
                                <w:i/>
                                <w:iCs/>
                              </w:rPr>
                              <w:t xml:space="preserve"> tertiary </w:t>
                            </w:r>
                            <w:r w:rsidR="009D37E0">
                              <w:rPr>
                                <w:i/>
                                <w:iCs/>
                              </w:rPr>
                              <w:t>entrance</w:t>
                            </w:r>
                            <w:r w:rsidR="007E530B" w:rsidRPr="005B69B7">
                              <w:rPr>
                                <w:i/>
                                <w:iCs/>
                              </w:rPr>
                              <w:t xml:space="preserve"> performance</w:t>
                            </w:r>
                            <w:r w:rsidR="007E530B">
                              <w:t>,</w:t>
                            </w:r>
                            <w:r w:rsidR="00746586">
                              <w:rPr>
                                <w:i/>
                                <w:iCs/>
                              </w:rPr>
                              <w:t xml:space="preserve"> </w:t>
                            </w:r>
                            <w:r w:rsidRPr="003F0E7E">
                              <w:t>NCVER</w:t>
                            </w:r>
                            <w:r w:rsidRPr="00A021FC">
                              <w:t>, Adelaide.</w:t>
                            </w:r>
                            <w:r w:rsidR="0090328D">
                              <w:t xml:space="preserve"> </w:t>
                            </w:r>
                          </w:p>
                          <w:p w14:paraId="1807EC4B" w14:textId="7049DB5D" w:rsidR="001D321A" w:rsidRPr="001D321A" w:rsidRDefault="001D321A" w:rsidP="001D321A">
                            <w:pPr>
                              <w:pStyle w:val="Imprint"/>
                            </w:pPr>
                            <w:r w:rsidRPr="001D321A">
                              <w:t xml:space="preserve">This work has been produced by NCVER on behalf </w:t>
                            </w:r>
                            <w:r w:rsidR="005E484B">
                              <w:t>o</w:t>
                            </w:r>
                            <w:r w:rsidRPr="001D321A">
                              <w:t>f the Australian Government and state and territory governments, with funding provided throu</w:t>
                            </w:r>
                            <w:r w:rsidR="00746586">
                              <w:t xml:space="preserve">gh </w:t>
                            </w:r>
                            <w:r w:rsidRPr="001D321A">
                              <w:t xml:space="preserve">the </w:t>
                            </w:r>
                            <w:r w:rsidR="00E56BA8">
                              <w:t xml:space="preserve">Australian </w:t>
                            </w:r>
                            <w:r w:rsidR="00637BE0">
                              <w:t xml:space="preserve">Government </w:t>
                            </w:r>
                            <w:r w:rsidRPr="001D321A">
                              <w:t xml:space="preserve">Department of </w:t>
                            </w:r>
                            <w:r w:rsidR="001230FE">
                              <w:t>Education</w:t>
                            </w:r>
                            <w:r w:rsidRPr="001D321A">
                              <w:t xml:space="preserve">. </w:t>
                            </w:r>
                          </w:p>
                          <w:p w14:paraId="0300B531" w14:textId="77777777" w:rsidR="00753998" w:rsidRPr="00C9777B" w:rsidRDefault="00753998" w:rsidP="001D321A">
                            <w:pPr>
                              <w:pStyle w:val="Imprint"/>
                            </w:pPr>
                            <w:r>
                              <w:rPr>
                                <w:smallCaps/>
                              </w:rPr>
                              <w:t>COVER IMAGE: GETTY IMAGES</w:t>
                            </w:r>
                          </w:p>
                          <w:p w14:paraId="4D33D844" w14:textId="519EC4AC" w:rsidR="00753998" w:rsidRDefault="00753998" w:rsidP="007C667B">
                            <w:pPr>
                              <w:pStyle w:val="Imprint"/>
                              <w:rPr>
                                <w:color w:val="000000"/>
                              </w:rPr>
                            </w:pPr>
                            <w:r w:rsidRPr="005C2FCF">
                              <w:rPr>
                                <w:color w:val="000000"/>
                              </w:rPr>
                              <w:t>ISBN</w:t>
                            </w:r>
                            <w:r>
                              <w:rPr>
                                <w:color w:val="000000"/>
                              </w:rPr>
                              <w:t xml:space="preserve"> </w:t>
                            </w:r>
                            <w:r w:rsidRPr="005C2FCF">
                              <w:rPr>
                                <w:color w:val="000000"/>
                              </w:rPr>
                              <w:tab/>
                            </w:r>
                            <w:r w:rsidR="001A52BB" w:rsidRPr="001A52BB">
                              <w:rPr>
                                <w:color w:val="000000"/>
                              </w:rPr>
                              <w:t>978-1-922801-24-1</w:t>
                            </w:r>
                          </w:p>
                          <w:p w14:paraId="58FC7CC6" w14:textId="52EBD17A" w:rsidR="00753998" w:rsidRPr="005C2FCF" w:rsidRDefault="00753998" w:rsidP="00CE248F">
                            <w:pPr>
                              <w:pStyle w:val="Imprint"/>
                              <w:spacing w:before="0"/>
                              <w:rPr>
                                <w:color w:val="000000"/>
                              </w:rPr>
                            </w:pPr>
                            <w:r w:rsidRPr="005C2FCF">
                              <w:rPr>
                                <w:color w:val="000000"/>
                              </w:rPr>
                              <w:t>TD/TNC</w:t>
                            </w:r>
                            <w:r w:rsidRPr="005C2FCF">
                              <w:rPr>
                                <w:color w:val="000000"/>
                              </w:rPr>
                              <w:tab/>
                            </w:r>
                            <w:r w:rsidR="001A52BB" w:rsidRPr="001A52BB">
                              <w:rPr>
                                <w:color w:val="000000"/>
                              </w:rPr>
                              <w:t>156.03</w:t>
                            </w:r>
                          </w:p>
                          <w:p w14:paraId="694BA120" w14:textId="77777777" w:rsidR="00753998" w:rsidRPr="005C2FCF" w:rsidRDefault="00753998" w:rsidP="007C667B">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157149BB" w14:textId="77777777" w:rsidR="00753998" w:rsidRPr="005C2FCF" w:rsidRDefault="00DB4662" w:rsidP="007C667B">
                            <w:pPr>
                              <w:pStyle w:val="Imprint"/>
                              <w:spacing w:before="80"/>
                              <w:rPr>
                                <w:color w:val="000000"/>
                              </w:rPr>
                            </w:pPr>
                            <w:r>
                              <w:rPr>
                                <w:color w:val="000000"/>
                              </w:rPr>
                              <w:t>Level 5</w:t>
                            </w:r>
                            <w:r w:rsidR="007E32F5">
                              <w:rPr>
                                <w:color w:val="000000"/>
                              </w:rPr>
                              <w:t>,</w:t>
                            </w:r>
                            <w:r>
                              <w:rPr>
                                <w:color w:val="000000"/>
                              </w:rPr>
                              <w:t xml:space="preserve"> 60 Light Square,</w:t>
                            </w:r>
                            <w:r w:rsidR="007E32F5">
                              <w:rPr>
                                <w:color w:val="000000"/>
                              </w:rPr>
                              <w:t xml:space="preserve"> Adelaide </w:t>
                            </w:r>
                            <w:r w:rsidR="00753998" w:rsidRPr="005C2FCF">
                              <w:rPr>
                                <w:color w:val="000000"/>
                              </w:rPr>
                              <w:t>SA 5000</w:t>
                            </w:r>
                            <w:r w:rsidR="00753998" w:rsidRPr="005C2FCF">
                              <w:rPr>
                                <w:color w:val="000000"/>
                              </w:rPr>
                              <w:br/>
                              <w:t>PO Box 8288 Station Arcade, Adelaide SA 5000, Australia</w:t>
                            </w:r>
                          </w:p>
                          <w:p w14:paraId="301AB3FC" w14:textId="77777777" w:rsidR="00C109CB" w:rsidRPr="002C3573" w:rsidRDefault="00C109CB" w:rsidP="00C109CB">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2C3573">
                              <w:rPr>
                                <w:b/>
                              </w:rPr>
                              <w:t>Email</w:t>
                            </w:r>
                            <w:r w:rsidRPr="002C3573">
                              <w:t xml:space="preserve"> </w:t>
                            </w:r>
                            <w:hyperlink r:id="rId22" w:history="1">
                              <w:r>
                                <w:t>ncver@</w:t>
                              </w:r>
                              <w:r w:rsidRPr="004B031A">
                                <w:rPr>
                                  <w:rStyle w:val="Hyperlink"/>
                                  <w:sz w:val="16"/>
                                  <w:szCs w:val="16"/>
                                </w:rPr>
                                <w:t>ncver.edu.au</w:t>
                              </w:r>
                            </w:hyperlink>
                            <w:r>
                              <w:rPr>
                                <w:rStyle w:val="Hyperlink"/>
                                <w:sz w:val="16"/>
                                <w:szCs w:val="16"/>
                              </w:rPr>
                              <w:t xml:space="preserve">    </w:t>
                            </w:r>
                            <w:r>
                              <w:rPr>
                                <w:rStyle w:val="Hyperlink"/>
                                <w:sz w:val="16"/>
                                <w:szCs w:val="16"/>
                              </w:rPr>
                              <w:br/>
                              <w:t>W</w:t>
                            </w:r>
                            <w:r>
                              <w:t>eb &lt;h</w:t>
                            </w:r>
                            <w:r w:rsidRPr="002C3573">
                              <w:rPr>
                                <w:b/>
                              </w:rPr>
                              <w:t>ttp</w:t>
                            </w:r>
                            <w:r>
                              <w:t>s</w:t>
                            </w:r>
                            <w:r w:rsidRPr="002C3573">
                              <w:t>://www.ncver.edu.au&gt;  &lt;</w:t>
                            </w:r>
                            <w:hyperlink r:id="rId23" w:history="1">
                              <w:r w:rsidRPr="001D75B8">
                                <w:rPr>
                                  <w:rStyle w:val="Hyperlink"/>
                                  <w:sz w:val="16"/>
                                  <w:szCs w:val="16"/>
                                </w:rPr>
                                <w:t>https://www.lsay.edu.au</w:t>
                              </w:r>
                            </w:hyperlink>
                            <w:r w:rsidRPr="002C3573">
                              <w:t>&gt;</w:t>
                            </w:r>
                          </w:p>
                          <w:p w14:paraId="0B778D16" w14:textId="77777777" w:rsidR="00C109CB" w:rsidRDefault="00C109CB" w:rsidP="00C109CB">
                            <w:pPr>
                              <w:pStyle w:val="Imprint"/>
                              <w:tabs>
                                <w:tab w:val="left" w:pos="993"/>
                                <w:tab w:val="left" w:pos="3686"/>
                              </w:tabs>
                              <w:spacing w:before="240" w:after="240"/>
                            </w:pPr>
                            <w:r w:rsidRPr="00E65C3B">
                              <w:rPr>
                                <w:b/>
                              </w:rPr>
                              <w:t>Follow us:</w:t>
                            </w:r>
                          </w:p>
                          <w:p w14:paraId="046C43DC" w14:textId="77777777" w:rsidR="00C109CB" w:rsidRDefault="00C109CB" w:rsidP="00C109CB">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189FB4C4" wp14:editId="41E690C1">
                                  <wp:extent cx="122684" cy="126000"/>
                                  <wp:effectExtent l="0" t="0" r="0" b="7620"/>
                                  <wp:docPr id="1434100445" name="Picture 143410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5" w:history="1">
                              <w:r w:rsidRPr="00B41AF8">
                                <w:rPr>
                                  <w:rStyle w:val="Hyperlink"/>
                                  <w:sz w:val="16"/>
                                  <w:szCs w:val="16"/>
                                </w:rPr>
                                <w:t>https://x.com/ncver</w:t>
                              </w:r>
                            </w:hyperlink>
                            <w:r w:rsidRPr="009C23FC">
                              <w:rPr>
                                <w:rFonts w:ascii="Trebuchet MS" w:hAnsi="Trebuchet MS"/>
                                <w:sz w:val="16"/>
                                <w:szCs w:val="16"/>
                              </w:rPr>
                              <w:t xml:space="preserve">&gt;  </w:t>
                            </w:r>
                          </w:p>
                          <w:p w14:paraId="4874119C" w14:textId="77777777" w:rsidR="00C109CB" w:rsidRDefault="00C109CB" w:rsidP="000B0E23">
                            <w:pPr>
                              <w:pStyle w:val="NoParagraphStyle"/>
                              <w:spacing w:before="40"/>
                              <w:rPr>
                                <w:rFonts w:ascii="Trebuchet MS" w:hAnsi="Trebuchet MS"/>
                                <w:sz w:val="16"/>
                                <w:szCs w:val="16"/>
                              </w:rPr>
                            </w:pPr>
                            <w:r>
                              <w:rPr>
                                <w:noProof/>
                              </w:rPr>
                              <w:drawing>
                                <wp:inline distT="0" distB="0" distL="0" distR="0" wp14:anchorId="454C15E1" wp14:editId="12F02372">
                                  <wp:extent cx="120566" cy="123825"/>
                                  <wp:effectExtent l="0" t="0" r="0" b="0"/>
                                  <wp:docPr id="460821936" name="Picture 46082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7"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58AA15E9" w14:textId="3116C707" w:rsidR="001A52BB" w:rsidRPr="00F6294F" w:rsidRDefault="00795E71" w:rsidP="000B0E23">
                            <w:pPr>
                              <w:pStyle w:val="NoParagraphStyle"/>
                              <w:spacing w:before="40" w:after="100" w:afterAutospacing="1"/>
                              <w:rPr>
                                <w:rFonts w:ascii="Trebuchet MS" w:hAnsi="Trebuchet MS"/>
                                <w:color w:val="auto"/>
                                <w:sz w:val="16"/>
                                <w:szCs w:val="16"/>
                              </w:rPr>
                            </w:pPr>
                            <w:r>
                              <w:pict w14:anchorId="760499AB">
                                <v:shape id="_x0000_i1027" type="#_x0000_t75" style="width:9.75pt;height:9.75pt;visibility:visible;mso-wrap-style:square">
                                  <v:imagedata r:id="rId28" o:title=""/>
                                  <o:lock v:ext="edit" aspectratio="f"/>
                                </v:shape>
                              </w:pict>
                            </w:r>
                            <w:r w:rsidR="00C109CB">
                              <w:rPr>
                                <w:rFonts w:ascii="Trebuchet MS" w:hAnsi="Trebuchet MS"/>
                                <w:sz w:val="16"/>
                                <w:szCs w:val="16"/>
                              </w:rPr>
                              <w:t xml:space="preserve">  </w:t>
                            </w:r>
                            <w:r w:rsidR="000B0E23">
                              <w:rPr>
                                <w:rFonts w:ascii="Trebuchet MS" w:hAnsi="Trebuchet MS"/>
                                <w:sz w:val="16"/>
                                <w:szCs w:val="16"/>
                              </w:rPr>
                              <w:t>&lt;</w:t>
                            </w:r>
                            <w:hyperlink r:id="rId29" w:history="1">
                              <w:r w:rsidR="000B0E23" w:rsidRPr="002C712A">
                                <w:rPr>
                                  <w:rStyle w:val="Hyperlink"/>
                                  <w:sz w:val="16"/>
                                  <w:szCs w:val="16"/>
                                </w:rPr>
                                <w:t>https://www.facebook.com/ncver.au</w:t>
                              </w:r>
                            </w:hyperlink>
                            <w:r w:rsidR="000B0E23">
                              <w:rPr>
                                <w:rStyle w:val="Hyperlink"/>
                                <w:sz w:val="16"/>
                                <w:szCs w:val="16"/>
                              </w:rPr>
                              <w:t>&gt;</w:t>
                            </w:r>
                          </w:p>
                          <w:p w14:paraId="74043603" w14:textId="160099D8" w:rsidR="00753998" w:rsidRPr="00D212FA" w:rsidRDefault="00753998" w:rsidP="00C109CB">
                            <w:pPr>
                              <w:pStyle w:val="Imprint"/>
                              <w:tabs>
                                <w:tab w:val="left" w:pos="2127"/>
                              </w:tabs>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E88B7" id="_x0000_t202" coordsize="21600,21600" o:spt="202" path="m,l,21600r21600,l21600,xe">
                <v:stroke joinstyle="miter"/>
                <v:path gradientshapeok="t" o:connecttype="rect"/>
              </v:shapetype>
              <v:shape id="Text Box 4" o:spid="_x0000_s1028" type="#_x0000_t202" style="position:absolute;margin-left:0;margin-top:20.15pt;width:440.7pt;height:507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" filled="f" stroked="f">
                <v:textbox inset="0,,0">
                  <w:txbxContent>
                    <w:p w14:paraId="4EC2AC21" w14:textId="0B3F7537" w:rsidR="00753998" w:rsidRPr="00A021FC" w:rsidRDefault="00753998" w:rsidP="007C667B">
                      <w:pPr>
                        <w:pStyle w:val="Imprint"/>
                        <w:rPr>
                          <w:b/>
                        </w:rPr>
                      </w:pPr>
                      <w:r w:rsidRPr="00A021FC">
                        <w:rPr>
                          <w:b/>
                        </w:rPr>
                        <w:t xml:space="preserve">© </w:t>
                      </w:r>
                      <w:r w:rsidRPr="008C3142">
                        <w:rPr>
                          <w:b/>
                        </w:rPr>
                        <w:t>Commonwealth of Australia</w:t>
                      </w:r>
                      <w:r w:rsidRPr="00A021FC">
                        <w:rPr>
                          <w:b/>
                        </w:rPr>
                        <w:t>,</w:t>
                      </w:r>
                      <w:r w:rsidR="00296478">
                        <w:rPr>
                          <w:b/>
                        </w:rPr>
                        <w:t xml:space="preserve"> 2024</w:t>
                      </w:r>
                    </w:p>
                    <w:p w14:paraId="1D525BD6" w14:textId="77777777" w:rsidR="00753998" w:rsidRDefault="00753998" w:rsidP="007C667B">
                      <w:pPr>
                        <w:pStyle w:val="Imprint"/>
                        <w:rPr>
                          <w:sz w:val="20"/>
                        </w:rPr>
                      </w:pPr>
                      <w:r w:rsidRPr="00E80270">
                        <w:rPr>
                          <w:noProof/>
                          <w:sz w:val="20"/>
                          <w:lang w:eastAsia="en-AU"/>
                        </w:rPr>
                        <w:drawing>
                          <wp:inline distT="0" distB="0" distL="0" distR="0" wp14:anchorId="20FFA1D1" wp14:editId="09EFA3F9">
                            <wp:extent cx="850265" cy="302895"/>
                            <wp:effectExtent l="19050" t="0" r="6985" b="0"/>
                            <wp:docPr id="186540403" name="Picture 18654040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3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7B99DF27" w14:textId="77777777" w:rsidR="001D321A" w:rsidRDefault="001D321A" w:rsidP="001D321A">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5912E722" w14:textId="77777777" w:rsidR="001D321A" w:rsidRPr="001D321A" w:rsidRDefault="001D321A" w:rsidP="001D321A">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539E8E1" w14:textId="77777777" w:rsidR="001D321A" w:rsidRDefault="001D321A" w:rsidP="001D321A">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59A7DE4C" w14:textId="1774D4FD" w:rsidR="001D321A" w:rsidRPr="00A021FC" w:rsidRDefault="001D321A" w:rsidP="001D321A">
                      <w:pPr>
                        <w:pStyle w:val="Imprint"/>
                      </w:pPr>
                      <w:r w:rsidRPr="00A021FC">
                        <w:t xml:space="preserve">This document should be </w:t>
                      </w:r>
                      <w:r w:rsidRPr="003F0E7E">
                        <w:t xml:space="preserve">attributed as </w:t>
                      </w:r>
                      <w:r w:rsidR="003E082B">
                        <w:t>Semo, R,</w:t>
                      </w:r>
                      <w:r w:rsidR="005E484B">
                        <w:t xml:space="preserve"> Chew, E, Dowling, K,</w:t>
                      </w:r>
                      <w:r w:rsidR="007D39B1">
                        <w:t xml:space="preserve"> Forrest, C &amp; Parvazian,</w:t>
                      </w:r>
                      <w:r w:rsidR="000449EF">
                        <w:t xml:space="preserve"> S</w:t>
                      </w:r>
                      <w:r w:rsidR="007E530B">
                        <w:t xml:space="preserve"> 2024,</w:t>
                      </w:r>
                      <w:r w:rsidR="000449EF">
                        <w:t xml:space="preserve"> </w:t>
                      </w:r>
                      <w:r w:rsidR="000449EF">
                        <w:rPr>
                          <w:i/>
                          <w:iCs/>
                        </w:rPr>
                        <w:t>Is the die cast</w:t>
                      </w:r>
                      <w:r w:rsidR="00297D1A">
                        <w:rPr>
                          <w:i/>
                          <w:iCs/>
                        </w:rPr>
                        <w:t>?</w:t>
                      </w:r>
                      <w:r w:rsidR="000449EF">
                        <w:rPr>
                          <w:i/>
                          <w:iCs/>
                        </w:rPr>
                        <w:t xml:space="preserve"> Investigating</w:t>
                      </w:r>
                      <w:r w:rsidR="00746586">
                        <w:rPr>
                          <w:i/>
                          <w:iCs/>
                        </w:rPr>
                        <w:t xml:space="preserve"> </w:t>
                      </w:r>
                      <w:r w:rsidR="00746586" w:rsidRPr="005B69B7">
                        <w:rPr>
                          <w:i/>
                          <w:iCs/>
                        </w:rPr>
                        <w:t>the relationship between prior academic achievement and</w:t>
                      </w:r>
                      <w:r w:rsidR="007E530B" w:rsidRPr="005B69B7">
                        <w:rPr>
                          <w:i/>
                          <w:iCs/>
                        </w:rPr>
                        <w:t xml:space="preserve"> tertiary </w:t>
                      </w:r>
                      <w:r w:rsidR="009D37E0">
                        <w:rPr>
                          <w:i/>
                          <w:iCs/>
                        </w:rPr>
                        <w:t>entrance</w:t>
                      </w:r>
                      <w:r w:rsidR="007E530B" w:rsidRPr="005B69B7">
                        <w:rPr>
                          <w:i/>
                          <w:iCs/>
                        </w:rPr>
                        <w:t xml:space="preserve"> performance</w:t>
                      </w:r>
                      <w:r w:rsidR="007E530B">
                        <w:t>,</w:t>
                      </w:r>
                      <w:r w:rsidR="00746586">
                        <w:rPr>
                          <w:i/>
                          <w:iCs/>
                        </w:rPr>
                        <w:t xml:space="preserve"> </w:t>
                      </w:r>
                      <w:r w:rsidRPr="003F0E7E">
                        <w:t>NCVER</w:t>
                      </w:r>
                      <w:r w:rsidRPr="00A021FC">
                        <w:t>, Adelaide.</w:t>
                      </w:r>
                      <w:r w:rsidR="0090328D">
                        <w:t xml:space="preserve"> </w:t>
                      </w:r>
                    </w:p>
                    <w:p w14:paraId="1807EC4B" w14:textId="7049DB5D" w:rsidR="001D321A" w:rsidRPr="001D321A" w:rsidRDefault="001D321A" w:rsidP="001D321A">
                      <w:pPr>
                        <w:pStyle w:val="Imprint"/>
                      </w:pPr>
                      <w:r w:rsidRPr="001D321A">
                        <w:t xml:space="preserve">This work has been produced by NCVER on behalf </w:t>
                      </w:r>
                      <w:r w:rsidR="005E484B">
                        <w:t>o</w:t>
                      </w:r>
                      <w:r w:rsidRPr="001D321A">
                        <w:t>f the Australian Government and state and territory governments, with funding provided throu</w:t>
                      </w:r>
                      <w:r w:rsidR="00746586">
                        <w:t xml:space="preserve">gh </w:t>
                      </w:r>
                      <w:r w:rsidRPr="001D321A">
                        <w:t xml:space="preserve">the </w:t>
                      </w:r>
                      <w:r w:rsidR="00E56BA8">
                        <w:t xml:space="preserve">Australian </w:t>
                      </w:r>
                      <w:r w:rsidR="00637BE0">
                        <w:t xml:space="preserve">Government </w:t>
                      </w:r>
                      <w:r w:rsidRPr="001D321A">
                        <w:t xml:space="preserve">Department of </w:t>
                      </w:r>
                      <w:r w:rsidR="001230FE">
                        <w:t>Education</w:t>
                      </w:r>
                      <w:r w:rsidRPr="001D321A">
                        <w:t xml:space="preserve">. </w:t>
                      </w:r>
                    </w:p>
                    <w:p w14:paraId="0300B531" w14:textId="77777777" w:rsidR="00753998" w:rsidRPr="00C9777B" w:rsidRDefault="00753998" w:rsidP="001D321A">
                      <w:pPr>
                        <w:pStyle w:val="Imprint"/>
                      </w:pPr>
                      <w:r>
                        <w:rPr>
                          <w:smallCaps/>
                        </w:rPr>
                        <w:t>COVER IMAGE: GETTY IMAGES</w:t>
                      </w:r>
                    </w:p>
                    <w:p w14:paraId="4D33D844" w14:textId="519EC4AC" w:rsidR="00753998" w:rsidRDefault="00753998" w:rsidP="007C667B">
                      <w:pPr>
                        <w:pStyle w:val="Imprint"/>
                        <w:rPr>
                          <w:color w:val="000000"/>
                        </w:rPr>
                      </w:pPr>
                      <w:r w:rsidRPr="005C2FCF">
                        <w:rPr>
                          <w:color w:val="000000"/>
                        </w:rPr>
                        <w:t>ISBN</w:t>
                      </w:r>
                      <w:r>
                        <w:rPr>
                          <w:color w:val="000000"/>
                        </w:rPr>
                        <w:t xml:space="preserve"> </w:t>
                      </w:r>
                      <w:r w:rsidRPr="005C2FCF">
                        <w:rPr>
                          <w:color w:val="000000"/>
                        </w:rPr>
                        <w:tab/>
                      </w:r>
                      <w:r w:rsidR="001A52BB" w:rsidRPr="001A52BB">
                        <w:rPr>
                          <w:color w:val="000000"/>
                        </w:rPr>
                        <w:t>978-1-922801-24-1</w:t>
                      </w:r>
                    </w:p>
                    <w:p w14:paraId="58FC7CC6" w14:textId="52EBD17A" w:rsidR="00753998" w:rsidRPr="005C2FCF" w:rsidRDefault="00753998" w:rsidP="00CE248F">
                      <w:pPr>
                        <w:pStyle w:val="Imprint"/>
                        <w:spacing w:before="0"/>
                        <w:rPr>
                          <w:color w:val="000000"/>
                        </w:rPr>
                      </w:pPr>
                      <w:r w:rsidRPr="005C2FCF">
                        <w:rPr>
                          <w:color w:val="000000"/>
                        </w:rPr>
                        <w:t>TD/TNC</w:t>
                      </w:r>
                      <w:r w:rsidRPr="005C2FCF">
                        <w:rPr>
                          <w:color w:val="000000"/>
                        </w:rPr>
                        <w:tab/>
                      </w:r>
                      <w:r w:rsidR="001A52BB" w:rsidRPr="001A52BB">
                        <w:rPr>
                          <w:color w:val="000000"/>
                        </w:rPr>
                        <w:t>156.03</w:t>
                      </w:r>
                    </w:p>
                    <w:p w14:paraId="694BA120" w14:textId="77777777" w:rsidR="00753998" w:rsidRPr="005C2FCF" w:rsidRDefault="00753998" w:rsidP="007C667B">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157149BB" w14:textId="77777777" w:rsidR="00753998" w:rsidRPr="005C2FCF" w:rsidRDefault="00DB4662" w:rsidP="007C667B">
                      <w:pPr>
                        <w:pStyle w:val="Imprint"/>
                        <w:spacing w:before="80"/>
                        <w:rPr>
                          <w:color w:val="000000"/>
                        </w:rPr>
                      </w:pPr>
                      <w:r>
                        <w:rPr>
                          <w:color w:val="000000"/>
                        </w:rPr>
                        <w:t>Level 5</w:t>
                      </w:r>
                      <w:r w:rsidR="007E32F5">
                        <w:rPr>
                          <w:color w:val="000000"/>
                        </w:rPr>
                        <w:t>,</w:t>
                      </w:r>
                      <w:r>
                        <w:rPr>
                          <w:color w:val="000000"/>
                        </w:rPr>
                        <w:t xml:space="preserve"> 60 Light Square,</w:t>
                      </w:r>
                      <w:r w:rsidR="007E32F5">
                        <w:rPr>
                          <w:color w:val="000000"/>
                        </w:rPr>
                        <w:t xml:space="preserve"> Adelaide </w:t>
                      </w:r>
                      <w:r w:rsidR="00753998" w:rsidRPr="005C2FCF">
                        <w:rPr>
                          <w:color w:val="000000"/>
                        </w:rPr>
                        <w:t>SA 5000</w:t>
                      </w:r>
                      <w:r w:rsidR="00753998" w:rsidRPr="005C2FCF">
                        <w:rPr>
                          <w:color w:val="000000"/>
                        </w:rPr>
                        <w:br/>
                        <w:t>PO Box 8288 Station Arcade, Adelaide SA 5000, Australia</w:t>
                      </w:r>
                    </w:p>
                    <w:p w14:paraId="301AB3FC" w14:textId="77777777" w:rsidR="00C109CB" w:rsidRPr="002C3573" w:rsidRDefault="00C109CB" w:rsidP="00C109CB">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2C3573">
                        <w:rPr>
                          <w:b/>
                        </w:rPr>
                        <w:t>Email</w:t>
                      </w:r>
                      <w:r w:rsidRPr="002C3573">
                        <w:t xml:space="preserve"> </w:t>
                      </w:r>
                      <w:hyperlink r:id="rId31" w:history="1">
                        <w:r>
                          <w:t>ncver@</w:t>
                        </w:r>
                        <w:r w:rsidRPr="004B031A">
                          <w:rPr>
                            <w:rStyle w:val="Hyperlink"/>
                            <w:sz w:val="16"/>
                            <w:szCs w:val="16"/>
                          </w:rPr>
                          <w:t>ncver.edu.au</w:t>
                        </w:r>
                      </w:hyperlink>
                      <w:r>
                        <w:rPr>
                          <w:rStyle w:val="Hyperlink"/>
                          <w:sz w:val="16"/>
                          <w:szCs w:val="16"/>
                        </w:rPr>
                        <w:t xml:space="preserve">    </w:t>
                      </w:r>
                      <w:r>
                        <w:rPr>
                          <w:rStyle w:val="Hyperlink"/>
                          <w:sz w:val="16"/>
                          <w:szCs w:val="16"/>
                        </w:rPr>
                        <w:br/>
                        <w:t>W</w:t>
                      </w:r>
                      <w:r>
                        <w:t>eb &lt;h</w:t>
                      </w:r>
                      <w:r w:rsidRPr="002C3573">
                        <w:rPr>
                          <w:b/>
                        </w:rPr>
                        <w:t>ttp</w:t>
                      </w:r>
                      <w:r>
                        <w:t>s</w:t>
                      </w:r>
                      <w:r w:rsidRPr="002C3573">
                        <w:t>://www.ncver.edu.au&gt;  &lt;</w:t>
                      </w:r>
                      <w:hyperlink r:id="rId32" w:history="1">
                        <w:r w:rsidRPr="001D75B8">
                          <w:rPr>
                            <w:rStyle w:val="Hyperlink"/>
                            <w:sz w:val="16"/>
                            <w:szCs w:val="16"/>
                          </w:rPr>
                          <w:t>https://www.lsay.edu.au</w:t>
                        </w:r>
                      </w:hyperlink>
                      <w:r w:rsidRPr="002C3573">
                        <w:t>&gt;</w:t>
                      </w:r>
                    </w:p>
                    <w:p w14:paraId="0B778D16" w14:textId="77777777" w:rsidR="00C109CB" w:rsidRDefault="00C109CB" w:rsidP="00C109CB">
                      <w:pPr>
                        <w:pStyle w:val="Imprint"/>
                        <w:tabs>
                          <w:tab w:val="left" w:pos="993"/>
                          <w:tab w:val="left" w:pos="3686"/>
                        </w:tabs>
                        <w:spacing w:before="240" w:after="240"/>
                      </w:pPr>
                      <w:r w:rsidRPr="00E65C3B">
                        <w:rPr>
                          <w:b/>
                        </w:rPr>
                        <w:t>Follow us:</w:t>
                      </w:r>
                    </w:p>
                    <w:p w14:paraId="046C43DC" w14:textId="77777777" w:rsidR="00C109CB" w:rsidRDefault="00C109CB" w:rsidP="00C109CB">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189FB4C4" wp14:editId="41E690C1">
                            <wp:extent cx="122684" cy="126000"/>
                            <wp:effectExtent l="0" t="0" r="0" b="7620"/>
                            <wp:docPr id="1434100445" name="Picture 143410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34" w:history="1">
                        <w:r w:rsidRPr="00B41AF8">
                          <w:rPr>
                            <w:rStyle w:val="Hyperlink"/>
                            <w:sz w:val="16"/>
                            <w:szCs w:val="16"/>
                          </w:rPr>
                          <w:t>https://x.com/ncver</w:t>
                        </w:r>
                      </w:hyperlink>
                      <w:r w:rsidRPr="009C23FC">
                        <w:rPr>
                          <w:rFonts w:ascii="Trebuchet MS" w:hAnsi="Trebuchet MS"/>
                          <w:sz w:val="16"/>
                          <w:szCs w:val="16"/>
                        </w:rPr>
                        <w:t xml:space="preserve">&gt;  </w:t>
                      </w:r>
                    </w:p>
                    <w:p w14:paraId="4874119C" w14:textId="77777777" w:rsidR="00C109CB" w:rsidRDefault="00C109CB" w:rsidP="000B0E23">
                      <w:pPr>
                        <w:pStyle w:val="NoParagraphStyle"/>
                        <w:spacing w:before="40"/>
                        <w:rPr>
                          <w:rFonts w:ascii="Trebuchet MS" w:hAnsi="Trebuchet MS"/>
                          <w:sz w:val="16"/>
                          <w:szCs w:val="16"/>
                        </w:rPr>
                      </w:pPr>
                      <w:r>
                        <w:rPr>
                          <w:noProof/>
                        </w:rPr>
                        <w:drawing>
                          <wp:inline distT="0" distB="0" distL="0" distR="0" wp14:anchorId="454C15E1" wp14:editId="12F02372">
                            <wp:extent cx="120566" cy="123825"/>
                            <wp:effectExtent l="0" t="0" r="0" b="0"/>
                            <wp:docPr id="460821936" name="Picture 46082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3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58AA15E9" w14:textId="3116C707" w:rsidR="001A52BB" w:rsidRPr="00F6294F" w:rsidRDefault="000B0E23" w:rsidP="000B0E23">
                      <w:pPr>
                        <w:pStyle w:val="NoParagraphStyle"/>
                        <w:spacing w:before="40" w:after="100" w:afterAutospacing="1"/>
                        <w:rPr>
                          <w:rFonts w:ascii="Trebuchet MS" w:hAnsi="Trebuchet MS"/>
                          <w:color w:val="auto"/>
                          <w:sz w:val="16"/>
                          <w:szCs w:val="16"/>
                        </w:rPr>
                      </w:pPr>
                      <w:r>
                        <w:pict w14:anchorId="760499AB">
                          <v:shape id="_x0000_i1036" type="#_x0000_t75" style="width:9.75pt;height:9.75pt;visibility:visible;mso-wrap-style:square">
                            <v:imagedata r:id="rId37" o:title=""/>
                            <o:lock v:ext="edit" aspectratio="f"/>
                          </v:shape>
                        </w:pict>
                      </w:r>
                      <w:r w:rsidR="00C109CB">
                        <w:rPr>
                          <w:rFonts w:ascii="Trebuchet MS" w:hAnsi="Trebuchet MS"/>
                          <w:sz w:val="16"/>
                          <w:szCs w:val="16"/>
                        </w:rPr>
                        <w:t xml:space="preserve">  </w:t>
                      </w:r>
                      <w:r>
                        <w:rPr>
                          <w:rFonts w:ascii="Trebuchet MS" w:hAnsi="Trebuchet MS"/>
                          <w:sz w:val="16"/>
                          <w:szCs w:val="16"/>
                        </w:rPr>
                        <w:t>&lt;</w:t>
                      </w:r>
                      <w:hyperlink r:id="rId38" w:history="1">
                        <w:r w:rsidRPr="002C712A">
                          <w:rPr>
                            <w:rStyle w:val="Hyperlink"/>
                            <w:sz w:val="16"/>
                            <w:szCs w:val="16"/>
                          </w:rPr>
                          <w:t>https://www.facebook.com/ncver.au</w:t>
                        </w:r>
                      </w:hyperlink>
                      <w:r>
                        <w:rPr>
                          <w:rStyle w:val="Hyperlink"/>
                          <w:sz w:val="16"/>
                          <w:szCs w:val="16"/>
                        </w:rPr>
                        <w:t>&gt;</w:t>
                      </w:r>
                    </w:p>
                    <w:p w14:paraId="74043603" w14:textId="160099D8" w:rsidR="00753998" w:rsidRPr="00D212FA" w:rsidRDefault="00753998" w:rsidP="00C109CB">
                      <w:pPr>
                        <w:pStyle w:val="Imprint"/>
                        <w:tabs>
                          <w:tab w:val="left" w:pos="2127"/>
                        </w:tabs>
                      </w:pPr>
                    </w:p>
                  </w:txbxContent>
                </v:textbox>
                <w10:wrap anchorx="margin"/>
              </v:shape>
            </w:pict>
          </mc:Fallback>
        </mc:AlternateContent>
      </w:r>
    </w:p>
    <w:p w14:paraId="190CB04B" w14:textId="2EDB04B9" w:rsidR="004F7290" w:rsidRPr="00617370" w:rsidRDefault="004F7290" w:rsidP="007C667B"/>
    <w:p w14:paraId="1C89E47C" w14:textId="1C23E3B7" w:rsidR="00C83D73" w:rsidRPr="00617370" w:rsidRDefault="007C667B" w:rsidP="007C667B">
      <w:pPr>
        <w:sectPr w:rsidR="00C83D73" w:rsidRPr="00617370" w:rsidSect="00033F16">
          <w:footerReference w:type="even" r:id="rId39"/>
          <w:footerReference w:type="default" r:id="rId40"/>
          <w:pgSz w:w="11907" w:h="16840" w:code="9"/>
          <w:pgMar w:top="1276" w:right="1418" w:bottom="1276" w:left="1418" w:header="709" w:footer="556" w:gutter="0"/>
          <w:cols w:space="708"/>
          <w:docGrid w:linePitch="360"/>
        </w:sectPr>
      </w:pPr>
      <w:r w:rsidRPr="00617370">
        <w:br w:type="page"/>
      </w:r>
    </w:p>
    <w:p w14:paraId="710F29A2" w14:textId="2C46DC76" w:rsidR="00F33784" w:rsidRPr="00617370" w:rsidRDefault="00F33784" w:rsidP="00F33784">
      <w:pPr>
        <w:pStyle w:val="Heading1"/>
      </w:pPr>
      <w:bookmarkStart w:id="10" w:name="_Toc416260892"/>
      <w:bookmarkStart w:id="11" w:name="_Toc416421648"/>
      <w:bookmarkStart w:id="12" w:name="_Toc421789465"/>
      <w:bookmarkStart w:id="13" w:name="_Toc166511931"/>
      <w:bookmarkStart w:id="14" w:name="_Hlk164177871"/>
      <w:r w:rsidRPr="00617370">
        <w:lastRenderedPageBreak/>
        <w:t xml:space="preserve">About </w:t>
      </w:r>
      <w:r w:rsidR="00AC5497" w:rsidRPr="00617370">
        <w:t>the</w:t>
      </w:r>
      <w:r w:rsidRPr="00617370">
        <w:t xml:space="preserve"> research</w:t>
      </w:r>
      <w:bookmarkEnd w:id="10"/>
      <w:bookmarkEnd w:id="11"/>
      <w:bookmarkEnd w:id="12"/>
      <w:bookmarkEnd w:id="13"/>
      <w:r w:rsidR="003364D3" w:rsidRPr="00617370">
        <w:t xml:space="preserve"> </w:t>
      </w:r>
    </w:p>
    <w:p w14:paraId="401E55C3" w14:textId="3EB43515" w:rsidR="00EF3976" w:rsidRPr="00617370" w:rsidRDefault="00EF3976" w:rsidP="00CE248F">
      <w:pPr>
        <w:pStyle w:val="Heading3"/>
        <w:rPr>
          <w:i/>
          <w:color w:val="auto"/>
          <w:sz w:val="28"/>
        </w:rPr>
      </w:pPr>
      <w:bookmarkStart w:id="15" w:name="_Toc98394877"/>
      <w:bookmarkStart w:id="16" w:name="_Toc296423681"/>
      <w:bookmarkStart w:id="17" w:name="_Toc296497512"/>
      <w:bookmarkStart w:id="18" w:name="_Toc98394878"/>
      <w:bookmarkStart w:id="19" w:name="_Toc296423682"/>
      <w:bookmarkStart w:id="20" w:name="_Toc296497513"/>
      <w:r w:rsidRPr="00617370">
        <w:rPr>
          <w:i/>
          <w:color w:val="auto"/>
          <w:sz w:val="28"/>
        </w:rPr>
        <w:t>Is the die cast? Investigating the relationship between prior academic achievement and tertiary entrance performance</w:t>
      </w:r>
    </w:p>
    <w:p w14:paraId="0ADD4308" w14:textId="4AE8D9D9" w:rsidR="00CE248F" w:rsidRPr="00617370" w:rsidRDefault="009A56E4" w:rsidP="0062617B">
      <w:pPr>
        <w:pStyle w:val="Heading3"/>
      </w:pPr>
      <w:r w:rsidRPr="00617370">
        <w:t xml:space="preserve">Ronnie Semo, </w:t>
      </w:r>
      <w:r w:rsidR="0062617B" w:rsidRPr="00617370">
        <w:t xml:space="preserve">Emerick Chew, </w:t>
      </w:r>
      <w:r w:rsidR="00640A75" w:rsidRPr="00617370">
        <w:t xml:space="preserve">Kate Dowling, </w:t>
      </w:r>
      <w:r w:rsidR="0062617B" w:rsidRPr="00617370">
        <w:t>Cameron Forrest, Somayeh Parvazian</w:t>
      </w:r>
      <w:r w:rsidR="00CE248F" w:rsidRPr="00617370">
        <w:t xml:space="preserve">, </w:t>
      </w:r>
      <w:bookmarkEnd w:id="15"/>
      <w:bookmarkEnd w:id="16"/>
      <w:bookmarkEnd w:id="17"/>
      <w:r w:rsidR="0062617B" w:rsidRPr="00617370">
        <w:t>NCVER</w:t>
      </w:r>
    </w:p>
    <w:bookmarkEnd w:id="14"/>
    <w:bookmarkEnd w:id="18"/>
    <w:bookmarkEnd w:id="19"/>
    <w:bookmarkEnd w:id="20"/>
    <w:p w14:paraId="42BF1F75" w14:textId="6C3002C2" w:rsidR="00391B85" w:rsidRPr="00617370" w:rsidRDefault="002B4BB2" w:rsidP="002B4BB2">
      <w:pPr>
        <w:pStyle w:val="Text"/>
      </w:pPr>
      <w:r w:rsidRPr="00617370">
        <w:t xml:space="preserve">Students who perform well at school </w:t>
      </w:r>
      <w:r w:rsidR="00272D74" w:rsidRPr="00617370">
        <w:t xml:space="preserve">academically </w:t>
      </w:r>
      <w:r w:rsidRPr="00617370">
        <w:t xml:space="preserve">are more </w:t>
      </w:r>
      <w:r w:rsidR="00636182" w:rsidRPr="00617370">
        <w:t>likely</w:t>
      </w:r>
      <w:r w:rsidRPr="00617370">
        <w:t xml:space="preserve"> to complete Year 12 and experience smoother transitions from education to employment. </w:t>
      </w:r>
      <w:r w:rsidR="00B5162F" w:rsidRPr="00617370">
        <w:t xml:space="preserve">However, disentangling the effects of </w:t>
      </w:r>
      <w:r w:rsidR="00FB0AC3" w:rsidRPr="00617370">
        <w:t xml:space="preserve">prior </w:t>
      </w:r>
      <w:r w:rsidR="00B5162F" w:rsidRPr="00617370">
        <w:t xml:space="preserve">academic achievement on later performance from </w:t>
      </w:r>
      <w:r w:rsidR="00AE0483" w:rsidRPr="00617370">
        <w:t xml:space="preserve">other </w:t>
      </w:r>
      <w:r w:rsidR="00B5162F" w:rsidRPr="00617370">
        <w:t>confound</w:t>
      </w:r>
      <w:r w:rsidR="00AE0483" w:rsidRPr="00617370">
        <w:t xml:space="preserve">ing factors, </w:t>
      </w:r>
      <w:r w:rsidR="00B5162F" w:rsidRPr="00617370">
        <w:t>such as socioeconomic status, has prove</w:t>
      </w:r>
      <w:r w:rsidR="00794237" w:rsidRPr="00617370">
        <w:t>d</w:t>
      </w:r>
      <w:r w:rsidR="00B5162F" w:rsidRPr="00617370">
        <w:t xml:space="preserve"> difficult</w:t>
      </w:r>
      <w:r w:rsidR="00272D74" w:rsidRPr="00617370">
        <w:t>.</w:t>
      </w:r>
      <w:r w:rsidR="00B5162F" w:rsidRPr="00617370">
        <w:t xml:space="preserve"> </w:t>
      </w:r>
    </w:p>
    <w:p w14:paraId="5E9EF916" w14:textId="0EC37C40" w:rsidR="002B4BB2" w:rsidRPr="00617370" w:rsidDel="005720E6" w:rsidRDefault="002B4BB2" w:rsidP="002B4BB2">
      <w:pPr>
        <w:pStyle w:val="Text"/>
      </w:pPr>
      <w:r w:rsidRPr="00617370">
        <w:t>This study u</w:t>
      </w:r>
      <w:r w:rsidR="00B5162F" w:rsidRPr="00617370">
        <w:t>ses</w:t>
      </w:r>
      <w:r w:rsidRPr="00617370">
        <w:t xml:space="preserve"> data from the Longitudinal Surveys of Australian Youth (LSAY)</w:t>
      </w:r>
      <w:r w:rsidR="00F24B7F" w:rsidRPr="00617370">
        <w:t>, in conjunction with</w:t>
      </w:r>
      <w:r w:rsidR="00084F12" w:rsidRPr="00617370">
        <w:t xml:space="preserve"> </w:t>
      </w:r>
      <w:r w:rsidR="00F24B7F" w:rsidRPr="00617370">
        <w:t>d</w:t>
      </w:r>
      <w:r w:rsidR="002A0C9A" w:rsidRPr="00617370">
        <w:t xml:space="preserve">ata from the </w:t>
      </w:r>
      <w:r w:rsidR="00084F12" w:rsidRPr="00617370">
        <w:t xml:space="preserve">National Assessment Program — Literacy and Numeracy (NAPLAN) and </w:t>
      </w:r>
      <w:r w:rsidR="00084F12" w:rsidRPr="00617370">
        <w:rPr>
          <w:i/>
          <w:iCs/>
        </w:rPr>
        <w:t>MySchool</w:t>
      </w:r>
      <w:r w:rsidR="007E7426" w:rsidRPr="00617370">
        <w:t xml:space="preserve">, </w:t>
      </w:r>
      <w:r w:rsidR="00B5162F" w:rsidRPr="00617370">
        <w:t xml:space="preserve">to consider </w:t>
      </w:r>
      <w:r w:rsidR="002A0C9A" w:rsidRPr="00617370">
        <w:t xml:space="preserve">the </w:t>
      </w:r>
      <w:r w:rsidR="00B5162F" w:rsidRPr="00617370">
        <w:t>contextual factors that affect a student</w:t>
      </w:r>
      <w:r w:rsidR="004E68BA" w:rsidRPr="00617370">
        <w:t>’s</w:t>
      </w:r>
      <w:r w:rsidR="00B5162F" w:rsidRPr="00617370">
        <w:t xml:space="preserve"> academic trajectory</w:t>
      </w:r>
      <w:r w:rsidR="00391B85" w:rsidRPr="00617370">
        <w:t xml:space="preserve">. </w:t>
      </w:r>
      <w:r w:rsidRPr="00617370">
        <w:t xml:space="preserve">Using </w:t>
      </w:r>
      <w:r w:rsidR="00084F12" w:rsidRPr="00617370">
        <w:t xml:space="preserve">measures of </w:t>
      </w:r>
      <w:r w:rsidR="0015571C" w:rsidRPr="00617370">
        <w:t xml:space="preserve">students’ </w:t>
      </w:r>
      <w:r w:rsidR="00084F12" w:rsidRPr="00617370">
        <w:t>academic achievement</w:t>
      </w:r>
      <w:r w:rsidR="003567A5" w:rsidRPr="00617370">
        <w:t>,</w:t>
      </w:r>
      <w:r w:rsidR="00084F12" w:rsidRPr="00617370">
        <w:t xml:space="preserve"> demographic factors, information about the school they attended and </w:t>
      </w:r>
      <w:r w:rsidR="00DB6B69" w:rsidRPr="00617370">
        <w:t>subsequent</w:t>
      </w:r>
      <w:r w:rsidR="00084F12" w:rsidRPr="00617370">
        <w:t xml:space="preserve"> outcomes</w:t>
      </w:r>
      <w:r w:rsidRPr="00617370">
        <w:t xml:space="preserve">, the </w:t>
      </w:r>
      <w:r w:rsidR="001760E4" w:rsidRPr="00617370">
        <w:t>study</w:t>
      </w:r>
      <w:r w:rsidRPr="00617370">
        <w:t xml:space="preserve"> explore</w:t>
      </w:r>
      <w:r w:rsidR="001760E4" w:rsidRPr="00617370">
        <w:t>s</w:t>
      </w:r>
      <w:r w:rsidRPr="00617370">
        <w:t xml:space="preserve"> </w:t>
      </w:r>
      <w:r w:rsidRPr="00617370" w:rsidDel="005720E6">
        <w:t xml:space="preserve">the association between students’ academic </w:t>
      </w:r>
      <w:r w:rsidRPr="00617370">
        <w:t>performance at</w:t>
      </w:r>
      <w:r w:rsidRPr="00617370" w:rsidDel="005720E6">
        <w:t xml:space="preserve"> school and their schooling outcomes</w:t>
      </w:r>
      <w:r w:rsidR="001A4172" w:rsidRPr="00617370">
        <w:t>, as evidenced by</w:t>
      </w:r>
      <w:r w:rsidRPr="00617370" w:rsidDel="005720E6">
        <w:t xml:space="preserve"> </w:t>
      </w:r>
      <w:r w:rsidR="001A4172" w:rsidRPr="00617370">
        <w:t xml:space="preserve">their </w:t>
      </w:r>
      <w:r w:rsidRPr="00617370">
        <w:t xml:space="preserve">Australian Tertiary </w:t>
      </w:r>
      <w:r w:rsidR="00614B4A" w:rsidRPr="00617370">
        <w:t xml:space="preserve">Admissions </w:t>
      </w:r>
      <w:r w:rsidRPr="00617370">
        <w:t xml:space="preserve">Rank (ATAR). </w:t>
      </w:r>
      <w:r w:rsidR="006262A4" w:rsidRPr="00617370">
        <w:t>It</w:t>
      </w:r>
      <w:r w:rsidRPr="00617370">
        <w:t xml:space="preserve"> investigate</w:t>
      </w:r>
      <w:r w:rsidR="006262A4" w:rsidRPr="00617370">
        <w:t>s</w:t>
      </w:r>
      <w:r w:rsidRPr="00617370">
        <w:t xml:space="preserve"> whether </w:t>
      </w:r>
      <w:r w:rsidR="008A0692" w:rsidRPr="00617370">
        <w:t xml:space="preserve">Year 9 </w:t>
      </w:r>
      <w:r w:rsidRPr="00617370">
        <w:t xml:space="preserve">NAPLAN </w:t>
      </w:r>
      <w:r w:rsidR="008A0692" w:rsidRPr="00617370">
        <w:t xml:space="preserve">scores </w:t>
      </w:r>
      <w:r w:rsidRPr="00617370">
        <w:t xml:space="preserve">can be used to predict students’ likelihood of obtaining an ATAR </w:t>
      </w:r>
      <w:r w:rsidR="003134B5" w:rsidRPr="00617370">
        <w:t>upon</w:t>
      </w:r>
      <w:r w:rsidRPr="00617370">
        <w:t xml:space="preserve"> completing Year 12, </w:t>
      </w:r>
      <w:r w:rsidR="002861B9" w:rsidRPr="00617370">
        <w:t>and</w:t>
      </w:r>
      <w:r w:rsidRPr="00617370">
        <w:t xml:space="preserve"> the likelihood of obtaining a </w:t>
      </w:r>
      <w:r w:rsidRPr="00617370">
        <w:rPr>
          <w:i/>
          <w:iCs/>
        </w:rPr>
        <w:t>high</w:t>
      </w:r>
      <w:r w:rsidRPr="00617370">
        <w:t xml:space="preserve"> ATAR, controlling for several demographic characteristics.</w:t>
      </w:r>
    </w:p>
    <w:p w14:paraId="44250AB0" w14:textId="77777777" w:rsidR="00FD7C84" w:rsidRPr="00617370" w:rsidRDefault="002B4BB2" w:rsidP="00FD7C84">
      <w:pPr>
        <w:pStyle w:val="Keymessages"/>
      </w:pPr>
      <w:r w:rsidRPr="00617370">
        <w:t>Key messages</w:t>
      </w:r>
      <w:bookmarkStart w:id="21" w:name="_Hlk166509846"/>
    </w:p>
    <w:p w14:paraId="152C353A" w14:textId="17C89CFA" w:rsidR="00D2504A" w:rsidRPr="00617370" w:rsidRDefault="00B11655" w:rsidP="00284A36">
      <w:pPr>
        <w:pStyle w:val="Dotpoint1"/>
        <w:ind w:left="284" w:hanging="284"/>
      </w:pPr>
      <w:r w:rsidRPr="00617370">
        <w:t xml:space="preserve">As their NAPLAN scores increase, </w:t>
      </w:r>
      <w:r w:rsidR="00D2504A" w:rsidRPr="00617370">
        <w:t xml:space="preserve">individuals from a high socioeconomic background are almost </w:t>
      </w:r>
      <w:r w:rsidRPr="00617370">
        <w:t xml:space="preserve">one and a half times </w:t>
      </w:r>
      <w:r w:rsidR="00D2504A" w:rsidRPr="00617370">
        <w:t xml:space="preserve">more likely </w:t>
      </w:r>
      <w:r w:rsidRPr="00617370">
        <w:t xml:space="preserve">to receive an ATAR than </w:t>
      </w:r>
      <w:r w:rsidR="00D2504A" w:rsidRPr="00617370">
        <w:t xml:space="preserve">individuals from a low socioeconomic </w:t>
      </w:r>
      <w:r w:rsidR="00B509D4" w:rsidRPr="00617370">
        <w:t xml:space="preserve">background </w:t>
      </w:r>
      <w:r w:rsidRPr="00617370">
        <w:t xml:space="preserve">with the same increase in their NAPLAN score. </w:t>
      </w:r>
    </w:p>
    <w:p w14:paraId="21974F89" w14:textId="77777777" w:rsidR="00E3736B" w:rsidRPr="00617370" w:rsidRDefault="00D2504A" w:rsidP="00E3736B">
      <w:pPr>
        <w:pStyle w:val="Dotpoint1"/>
        <w:ind w:left="284" w:hanging="284"/>
      </w:pPr>
      <w:r w:rsidRPr="00617370">
        <w:t xml:space="preserve">Female students </w:t>
      </w:r>
      <w:r w:rsidR="00B11655" w:rsidRPr="00617370">
        <w:t xml:space="preserve">and those with a non-English speaking background </w:t>
      </w:r>
      <w:r w:rsidRPr="00617370">
        <w:t xml:space="preserve">are almost twice as likely to receive an ATAR compared to </w:t>
      </w:r>
      <w:r w:rsidR="00B11655" w:rsidRPr="00617370">
        <w:t>their male peers and those with an English-speaking background</w:t>
      </w:r>
      <w:r w:rsidR="00A56E7F" w:rsidRPr="00617370">
        <w:t xml:space="preserve"> respectively</w:t>
      </w:r>
      <w:r w:rsidR="003706AC" w:rsidRPr="00617370">
        <w:t xml:space="preserve">, </w:t>
      </w:r>
      <w:bookmarkStart w:id="22" w:name="_Hlk172616598"/>
      <w:r w:rsidR="003706AC" w:rsidRPr="00617370">
        <w:t xml:space="preserve">while </w:t>
      </w:r>
      <w:r w:rsidRPr="00617370">
        <w:t xml:space="preserve">Indigenous students are about half as likely </w:t>
      </w:r>
      <w:r w:rsidR="003706AC" w:rsidRPr="00617370">
        <w:t xml:space="preserve">as </w:t>
      </w:r>
      <w:r w:rsidRPr="00617370">
        <w:t>non-Indigenous students to receive an ATAR.</w:t>
      </w:r>
    </w:p>
    <w:bookmarkEnd w:id="22"/>
    <w:p w14:paraId="085961DD" w14:textId="692FFBDF" w:rsidR="002B4BB2" w:rsidRPr="00617370" w:rsidRDefault="000D4E13" w:rsidP="00D2504A">
      <w:pPr>
        <w:pStyle w:val="Dotpoint1"/>
        <w:ind w:left="284" w:hanging="284"/>
      </w:pPr>
      <w:r w:rsidRPr="00617370">
        <w:t>J</w:t>
      </w:r>
      <w:r w:rsidR="00D2504A" w:rsidRPr="00617370">
        <w:t xml:space="preserve">ust two factors are associated with achieving a </w:t>
      </w:r>
      <w:r w:rsidR="00D2504A" w:rsidRPr="00617370">
        <w:rPr>
          <w:i/>
          <w:iCs/>
        </w:rPr>
        <w:t>high</w:t>
      </w:r>
      <w:r w:rsidR="00D2504A" w:rsidRPr="00617370">
        <w:t xml:space="preserve"> ATAR</w:t>
      </w:r>
      <w:r w:rsidR="008A0692" w:rsidRPr="00617370">
        <w:t xml:space="preserve">: </w:t>
      </w:r>
      <w:r w:rsidRPr="00617370">
        <w:t xml:space="preserve">Year 9 </w:t>
      </w:r>
      <w:r w:rsidR="00D2504A" w:rsidRPr="00617370">
        <w:t xml:space="preserve">NAPLAN </w:t>
      </w:r>
      <w:r w:rsidR="008A0692" w:rsidRPr="00617370">
        <w:t xml:space="preserve">performance </w:t>
      </w:r>
      <w:r w:rsidR="00D2504A" w:rsidRPr="00617370">
        <w:t>and gender</w:t>
      </w:r>
      <w:r w:rsidR="0061536F" w:rsidRPr="00617370">
        <w:t xml:space="preserve"> –</w:t>
      </w:r>
      <w:r w:rsidRPr="00617370">
        <w:t xml:space="preserve"> </w:t>
      </w:r>
      <w:r w:rsidR="00B509D4" w:rsidRPr="00617370">
        <w:t xml:space="preserve"> s</w:t>
      </w:r>
      <w:r w:rsidR="00D2504A" w:rsidRPr="00617370">
        <w:t xml:space="preserve">tudents with higher NAPLAN scores are almost twice as likely to achieve </w:t>
      </w:r>
      <w:r w:rsidR="008A0692" w:rsidRPr="00617370">
        <w:t xml:space="preserve">an </w:t>
      </w:r>
      <w:r w:rsidR="00D2504A" w:rsidRPr="00617370">
        <w:t>ATAR score of 90 or above</w:t>
      </w:r>
      <w:r w:rsidR="008A0692" w:rsidRPr="00617370">
        <w:t xml:space="preserve">; and female students </w:t>
      </w:r>
      <w:r w:rsidR="00D2504A" w:rsidRPr="00617370">
        <w:t xml:space="preserve">are </w:t>
      </w:r>
      <w:r w:rsidR="008A0692" w:rsidRPr="00617370">
        <w:t xml:space="preserve">also almost </w:t>
      </w:r>
      <w:r w:rsidR="00D2504A" w:rsidRPr="00617370">
        <w:t>twice as likely as males to achieve ATAR scores of 90 or above.</w:t>
      </w:r>
      <w:bookmarkStart w:id="23" w:name="_Hlk169703433"/>
      <w:r w:rsidR="002B4BB2" w:rsidRPr="00617370">
        <w:t xml:space="preserve"> </w:t>
      </w:r>
      <w:bookmarkEnd w:id="23"/>
    </w:p>
    <w:p w14:paraId="680C1DBF" w14:textId="649D6E18" w:rsidR="002B4BB2" w:rsidRPr="00617370" w:rsidRDefault="002B4BB2" w:rsidP="00284A36">
      <w:pPr>
        <w:pStyle w:val="Dotpoint1"/>
        <w:ind w:left="284" w:hanging="284"/>
      </w:pPr>
      <w:bookmarkStart w:id="24" w:name="_Hlk172616933"/>
      <w:r w:rsidRPr="00617370">
        <w:t>Schools play a relatively small role in influencing tertiary entrance performance compared with the individual characteristics of the student</w:t>
      </w:r>
      <w:r w:rsidR="000D4E13" w:rsidRPr="00617370">
        <w:t>, with only a</w:t>
      </w:r>
      <w:r w:rsidR="00ED0C4D" w:rsidRPr="00617370">
        <w:t>bout</w:t>
      </w:r>
      <w:r w:rsidR="000247D1" w:rsidRPr="00617370">
        <w:t xml:space="preserve"> </w:t>
      </w:r>
      <w:r w:rsidR="003A3C7E" w:rsidRPr="00617370">
        <w:t xml:space="preserve">13% of the variation in a student’s tertiary entrance score </w:t>
      </w:r>
      <w:r w:rsidR="000D4E13" w:rsidRPr="00617370">
        <w:t>attributable</w:t>
      </w:r>
      <w:r w:rsidR="003A3C7E" w:rsidRPr="00617370">
        <w:t xml:space="preserve"> to the school they attend.</w:t>
      </w:r>
    </w:p>
    <w:bookmarkEnd w:id="24"/>
    <w:p w14:paraId="7F1BB0CC" w14:textId="72DF9CBA" w:rsidR="00AA0C3B" w:rsidRPr="00617370" w:rsidRDefault="002B4BB2" w:rsidP="00B509D4">
      <w:pPr>
        <w:pStyle w:val="Dotpoint1"/>
        <w:ind w:left="284" w:hanging="284"/>
      </w:pPr>
      <w:r w:rsidRPr="00617370">
        <w:t xml:space="preserve">A position of socioeconomic advantage alone does not translate to exceptional academic success. Instead, strong </w:t>
      </w:r>
      <w:r w:rsidR="00D2504A" w:rsidRPr="00617370">
        <w:t xml:space="preserve">reading and numeracy </w:t>
      </w:r>
      <w:r w:rsidRPr="00617370">
        <w:t xml:space="preserve">skills are key, regardless of a student’s background. </w:t>
      </w:r>
      <w:bookmarkEnd w:id="21"/>
    </w:p>
    <w:p w14:paraId="09364D6F" w14:textId="77777777" w:rsidR="00E3736B" w:rsidRPr="00617370" w:rsidRDefault="00E3736B" w:rsidP="002B4BB2">
      <w:pPr>
        <w:pStyle w:val="Text"/>
      </w:pPr>
    </w:p>
    <w:p w14:paraId="2C4985F7" w14:textId="03455446" w:rsidR="002B4BB2" w:rsidRPr="00617370" w:rsidRDefault="00374AA1" w:rsidP="002B4BB2">
      <w:pPr>
        <w:pStyle w:val="Text"/>
      </w:pPr>
      <w:r w:rsidRPr="00617370">
        <w:t>John King</w:t>
      </w:r>
      <w:r w:rsidR="002B4BB2" w:rsidRPr="00617370">
        <w:br/>
        <w:t>Managing Director, NCVER</w:t>
      </w:r>
    </w:p>
    <w:p w14:paraId="021C3C41" w14:textId="6C819C8A" w:rsidR="00F33784" w:rsidRPr="00617370" w:rsidRDefault="00F33784" w:rsidP="003813E4">
      <w:pPr>
        <w:pStyle w:val="Contents"/>
        <w:sectPr w:rsidR="00F33784" w:rsidRPr="00617370" w:rsidSect="00033F16">
          <w:headerReference w:type="default" r:id="rId41"/>
          <w:footerReference w:type="even" r:id="rId42"/>
          <w:footerReference w:type="default" r:id="rId43"/>
          <w:pgSz w:w="11907" w:h="16840" w:code="9"/>
          <w:pgMar w:top="1276" w:right="1418" w:bottom="992" w:left="1418" w:header="709" w:footer="420" w:gutter="0"/>
          <w:cols w:space="708"/>
          <w:docGrid w:linePitch="360"/>
        </w:sectPr>
      </w:pPr>
    </w:p>
    <w:p w14:paraId="12FF6989" w14:textId="251DB809" w:rsidR="00EB0AD7" w:rsidRPr="00617370" w:rsidRDefault="00991A62" w:rsidP="003813E4">
      <w:pPr>
        <w:pStyle w:val="Contents"/>
      </w:pPr>
      <w:r w:rsidRPr="00617370">
        <w:rPr>
          <w:noProof/>
        </w:rPr>
        <w:lastRenderedPageBreak/>
        <w:drawing>
          <wp:anchor distT="0" distB="0" distL="114300" distR="114300" simplePos="0" relativeHeight="251676684" behindDoc="0" locked="0" layoutInCell="1" allowOverlap="1" wp14:anchorId="1DD6BB0F" wp14:editId="0D30E133">
            <wp:simplePos x="0" y="0"/>
            <wp:positionH relativeFrom="column">
              <wp:posOffset>2795270</wp:posOffset>
            </wp:positionH>
            <wp:positionV relativeFrom="paragraph">
              <wp:posOffset>542290</wp:posOffset>
            </wp:positionV>
            <wp:extent cx="419100" cy="419100"/>
            <wp:effectExtent l="0" t="0" r="0" b="0"/>
            <wp:wrapSquare wrapText="bothSides"/>
            <wp:docPr id="3014912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23247" name="Picture 6"/>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370">
        <w:rPr>
          <w:noProof/>
        </w:rPr>
        <w:drawing>
          <wp:anchor distT="0" distB="0" distL="114300" distR="114300" simplePos="0" relativeHeight="251678732" behindDoc="0" locked="0" layoutInCell="1" allowOverlap="1" wp14:anchorId="20A9DC05" wp14:editId="2E30A847">
            <wp:simplePos x="0" y="0"/>
            <wp:positionH relativeFrom="column">
              <wp:posOffset>2331085</wp:posOffset>
            </wp:positionH>
            <wp:positionV relativeFrom="paragraph">
              <wp:posOffset>542290</wp:posOffset>
            </wp:positionV>
            <wp:extent cx="419100" cy="419100"/>
            <wp:effectExtent l="0" t="0" r="0" b="0"/>
            <wp:wrapSquare wrapText="bothSides"/>
            <wp:docPr id="1827870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09685" name="Picture 5"/>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anchor>
        </w:drawing>
      </w:r>
      <w:r w:rsidR="009776FA" w:rsidRPr="00617370">
        <w:rPr>
          <w:noProof/>
        </w:rPr>
        <w:drawing>
          <wp:anchor distT="0" distB="0" distL="114300" distR="114300" simplePos="0" relativeHeight="251680780" behindDoc="0" locked="0" layoutInCell="1" allowOverlap="1" wp14:anchorId="43EAD822" wp14:editId="294A9B32">
            <wp:simplePos x="0" y="0"/>
            <wp:positionH relativeFrom="column">
              <wp:posOffset>1857375</wp:posOffset>
            </wp:positionH>
            <wp:positionV relativeFrom="paragraph">
              <wp:posOffset>542290</wp:posOffset>
            </wp:positionV>
            <wp:extent cx="428625" cy="428625"/>
            <wp:effectExtent l="0" t="0" r="9525" b="9525"/>
            <wp:wrapSquare wrapText="bothSides"/>
            <wp:docPr id="1770398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07705"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33E" w:rsidRPr="00617370">
        <w:rPr>
          <w:noProof/>
        </w:rPr>
        <w:drawing>
          <wp:anchor distT="0" distB="0" distL="114300" distR="144145" simplePos="0" relativeHeight="251671564" behindDoc="0" locked="0" layoutInCell="1" allowOverlap="1" wp14:anchorId="53C3B505" wp14:editId="31A530B7">
            <wp:simplePos x="0" y="0"/>
            <wp:positionH relativeFrom="column">
              <wp:posOffset>1395095</wp:posOffset>
            </wp:positionH>
            <wp:positionV relativeFrom="paragraph">
              <wp:posOffset>542290</wp:posOffset>
            </wp:positionV>
            <wp:extent cx="417600" cy="417600"/>
            <wp:effectExtent l="0" t="0" r="1905" b="1905"/>
            <wp:wrapSquare wrapText="bothSides"/>
            <wp:docPr id="594308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33E" w:rsidRPr="00617370">
        <w:rPr>
          <w:noProof/>
        </w:rPr>
        <w:drawing>
          <wp:anchor distT="0" distB="0" distL="114300" distR="114300" simplePos="0" relativeHeight="251668492" behindDoc="0" locked="0" layoutInCell="1" allowOverlap="1" wp14:anchorId="2D656F05" wp14:editId="5D376832">
            <wp:simplePos x="0" y="0"/>
            <wp:positionH relativeFrom="column">
              <wp:posOffset>930910</wp:posOffset>
            </wp:positionH>
            <wp:positionV relativeFrom="paragraph">
              <wp:posOffset>540385</wp:posOffset>
            </wp:positionV>
            <wp:extent cx="419100" cy="419100"/>
            <wp:effectExtent l="0" t="0" r="0" b="0"/>
            <wp:wrapSquare wrapText="bothSides"/>
            <wp:docPr id="1342547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3E" w:rsidRPr="00617370">
        <w:rPr>
          <w:noProof/>
        </w:rPr>
        <w:drawing>
          <wp:anchor distT="0" distB="0" distL="114300" distR="144145" simplePos="0" relativeHeight="251665420" behindDoc="0" locked="0" layoutInCell="1" allowOverlap="1" wp14:anchorId="25A83EF5" wp14:editId="48FE4204">
            <wp:simplePos x="0" y="0"/>
            <wp:positionH relativeFrom="column">
              <wp:posOffset>470535</wp:posOffset>
            </wp:positionH>
            <wp:positionV relativeFrom="paragraph">
              <wp:posOffset>542290</wp:posOffset>
            </wp:positionV>
            <wp:extent cx="417195" cy="417195"/>
            <wp:effectExtent l="0" t="0" r="1905" b="1905"/>
            <wp:wrapSquare wrapText="bothSides"/>
            <wp:docPr id="232566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557" w:rsidRPr="00617370">
        <w:rPr>
          <w:noProof/>
          <w:lang w:eastAsia="en-AU"/>
        </w:rPr>
        <w:drawing>
          <wp:anchor distT="0" distB="0" distL="114300" distR="114300" simplePos="0" relativeHeight="251658247" behindDoc="0" locked="0" layoutInCell="1" allowOverlap="1" wp14:anchorId="3857020F" wp14:editId="273C2258">
            <wp:simplePos x="0" y="0"/>
            <wp:positionH relativeFrom="column">
              <wp:posOffset>1905</wp:posOffset>
            </wp:positionH>
            <wp:positionV relativeFrom="paragraph">
              <wp:posOffset>539750</wp:posOffset>
            </wp:positionV>
            <wp:extent cx="419100" cy="419100"/>
            <wp:effectExtent l="0" t="0" r="0" b="0"/>
            <wp:wrapNone/>
            <wp:docPr id="58" name="Picture 58" descr="P:\PublicationComponents\Icons\ExecutiveSummar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D7" w:rsidRPr="00617370">
        <w:t>Contents</w:t>
      </w:r>
      <w:bookmarkEnd w:id="7"/>
      <w:bookmarkEnd w:id="8"/>
      <w:bookmarkEnd w:id="9"/>
    </w:p>
    <w:p w14:paraId="03002784" w14:textId="67A8F81B" w:rsidR="00025BFC" w:rsidRPr="00617370" w:rsidRDefault="002947D3">
      <w:pPr>
        <w:pStyle w:val="TOC1"/>
        <w:rPr>
          <w:rFonts w:asciiTheme="minorHAnsi" w:eastAsiaTheme="minorEastAsia" w:hAnsiTheme="minorHAnsi" w:cstheme="minorBidi"/>
          <w:color w:val="auto"/>
          <w:kern w:val="2"/>
          <w:sz w:val="24"/>
          <w:szCs w:val="24"/>
          <w:lang w:eastAsia="en-AU"/>
          <w14:ligatures w14:val="standardContextual"/>
        </w:rPr>
      </w:pPr>
      <w:r w:rsidRPr="00617370">
        <w:rPr>
          <w:rFonts w:ascii="Avant Garde" w:hAnsi="Avant Garde"/>
          <w:color w:val="auto"/>
        </w:rPr>
        <w:fldChar w:fldCharType="begin"/>
      </w:r>
      <w:r w:rsidRPr="00617370">
        <w:rPr>
          <w:rFonts w:ascii="Avant Garde" w:hAnsi="Avant Garde"/>
          <w:color w:val="auto"/>
        </w:rPr>
        <w:instrText xml:space="preserve"> TOC \t "Heading 1,1,Heading 2,2" </w:instrText>
      </w:r>
      <w:r w:rsidRPr="00617370">
        <w:rPr>
          <w:rFonts w:ascii="Avant Garde" w:hAnsi="Avant Garde"/>
          <w:color w:val="auto"/>
        </w:rPr>
        <w:fldChar w:fldCharType="separate"/>
      </w:r>
      <w:r w:rsidR="00025BFC" w:rsidRPr="00617370">
        <w:t>About the research</w:t>
      </w:r>
      <w:r w:rsidR="00025BFC" w:rsidRPr="00617370">
        <w:tab/>
      </w:r>
      <w:r w:rsidR="00025BFC" w:rsidRPr="00617370">
        <w:fldChar w:fldCharType="begin"/>
      </w:r>
      <w:r w:rsidR="00025BFC" w:rsidRPr="00617370">
        <w:instrText xml:space="preserve"> PAGEREF _Toc166511931 \h </w:instrText>
      </w:r>
      <w:r w:rsidR="00025BFC" w:rsidRPr="00617370">
        <w:fldChar w:fldCharType="separate"/>
      </w:r>
      <w:r w:rsidR="00795E71">
        <w:t>3</w:t>
      </w:r>
      <w:r w:rsidR="00025BFC" w:rsidRPr="00617370">
        <w:fldChar w:fldCharType="end"/>
      </w:r>
    </w:p>
    <w:p w14:paraId="60274766" w14:textId="1D54579E"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Executive summary</w:t>
      </w:r>
      <w:r w:rsidRPr="00617370">
        <w:tab/>
      </w:r>
      <w:r w:rsidRPr="00617370">
        <w:fldChar w:fldCharType="begin"/>
      </w:r>
      <w:r w:rsidRPr="00617370">
        <w:instrText xml:space="preserve"> PAGEREF _Toc166511934 \h </w:instrText>
      </w:r>
      <w:r w:rsidRPr="00617370">
        <w:fldChar w:fldCharType="separate"/>
      </w:r>
      <w:r w:rsidR="00795E71">
        <w:t>6</w:t>
      </w:r>
      <w:r w:rsidRPr="00617370">
        <w:fldChar w:fldCharType="end"/>
      </w:r>
    </w:p>
    <w:p w14:paraId="5DEB0951" w14:textId="1338051E"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Introduction</w:t>
      </w:r>
      <w:r w:rsidRPr="00617370">
        <w:tab/>
      </w:r>
      <w:r w:rsidRPr="00617370">
        <w:fldChar w:fldCharType="begin"/>
      </w:r>
      <w:r w:rsidRPr="00617370">
        <w:instrText xml:space="preserve"> PAGEREF _Toc166511935 \h </w:instrText>
      </w:r>
      <w:r w:rsidRPr="00617370">
        <w:fldChar w:fldCharType="separate"/>
      </w:r>
      <w:r w:rsidR="00795E71">
        <w:t>8</w:t>
      </w:r>
      <w:r w:rsidRPr="00617370">
        <w:fldChar w:fldCharType="end"/>
      </w:r>
    </w:p>
    <w:p w14:paraId="1CD14C88" w14:textId="2CDD7B41" w:rsidR="00025BFC" w:rsidRPr="00617370" w:rsidRDefault="00025BFC">
      <w:pPr>
        <w:pStyle w:val="TOC2"/>
        <w:rPr>
          <w:rFonts w:asciiTheme="minorHAnsi" w:eastAsiaTheme="minorEastAsia" w:hAnsiTheme="minorHAnsi" w:cstheme="minorBidi"/>
          <w:color w:val="auto"/>
          <w:kern w:val="2"/>
          <w:sz w:val="24"/>
          <w:szCs w:val="24"/>
          <w:lang w:eastAsia="en-AU"/>
          <w14:ligatures w14:val="standardContextual"/>
        </w:rPr>
      </w:pPr>
      <w:r w:rsidRPr="00617370">
        <w:t>Factors that influence tertiary education pathways</w:t>
      </w:r>
      <w:r w:rsidRPr="00617370">
        <w:tab/>
      </w:r>
      <w:r w:rsidRPr="00617370">
        <w:fldChar w:fldCharType="begin"/>
      </w:r>
      <w:r w:rsidRPr="00617370">
        <w:instrText xml:space="preserve"> PAGEREF _Toc166511936 \h </w:instrText>
      </w:r>
      <w:r w:rsidRPr="00617370">
        <w:fldChar w:fldCharType="separate"/>
      </w:r>
      <w:r w:rsidR="00795E71">
        <w:t>9</w:t>
      </w:r>
      <w:r w:rsidRPr="00617370">
        <w:fldChar w:fldCharType="end"/>
      </w:r>
    </w:p>
    <w:p w14:paraId="2471CAA9" w14:textId="4C4CC606" w:rsidR="00025BFC" w:rsidRPr="00617370" w:rsidRDefault="00025BFC">
      <w:pPr>
        <w:pStyle w:val="TOC2"/>
        <w:rPr>
          <w:rFonts w:asciiTheme="minorHAnsi" w:eastAsiaTheme="minorEastAsia" w:hAnsiTheme="minorHAnsi" w:cstheme="minorBidi"/>
          <w:color w:val="auto"/>
          <w:kern w:val="2"/>
          <w:sz w:val="24"/>
          <w:szCs w:val="24"/>
          <w:lang w:eastAsia="en-AU"/>
          <w14:ligatures w14:val="standardContextual"/>
        </w:rPr>
      </w:pPr>
      <w:r w:rsidRPr="00617370">
        <w:t>Purpose of this study</w:t>
      </w:r>
      <w:r w:rsidRPr="00617370">
        <w:tab/>
      </w:r>
      <w:r w:rsidRPr="00617370">
        <w:fldChar w:fldCharType="begin"/>
      </w:r>
      <w:r w:rsidRPr="00617370">
        <w:instrText xml:space="preserve"> PAGEREF _Toc166511937 \h </w:instrText>
      </w:r>
      <w:r w:rsidRPr="00617370">
        <w:fldChar w:fldCharType="separate"/>
      </w:r>
      <w:r w:rsidR="00795E71">
        <w:t>12</w:t>
      </w:r>
      <w:r w:rsidRPr="00617370">
        <w:fldChar w:fldCharType="end"/>
      </w:r>
    </w:p>
    <w:p w14:paraId="3C787349" w14:textId="4A638317"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Data and methodology</w:t>
      </w:r>
      <w:r w:rsidRPr="00617370">
        <w:tab/>
      </w:r>
      <w:r w:rsidRPr="00617370">
        <w:fldChar w:fldCharType="begin"/>
      </w:r>
      <w:r w:rsidRPr="00617370">
        <w:instrText xml:space="preserve"> PAGEREF _Toc166511938 \h </w:instrText>
      </w:r>
      <w:r w:rsidRPr="00617370">
        <w:fldChar w:fldCharType="separate"/>
      </w:r>
      <w:r w:rsidR="00795E71">
        <w:t>13</w:t>
      </w:r>
      <w:r w:rsidRPr="00617370">
        <w:fldChar w:fldCharType="end"/>
      </w:r>
    </w:p>
    <w:p w14:paraId="73EB92B4" w14:textId="7A0F3097" w:rsidR="00025BFC" w:rsidRPr="00617370" w:rsidRDefault="00025BFC">
      <w:pPr>
        <w:pStyle w:val="TOC2"/>
        <w:rPr>
          <w:rFonts w:asciiTheme="minorHAnsi" w:eastAsiaTheme="minorEastAsia" w:hAnsiTheme="minorHAnsi" w:cstheme="minorBidi"/>
          <w:color w:val="auto"/>
          <w:kern w:val="2"/>
          <w:sz w:val="24"/>
          <w:szCs w:val="24"/>
          <w:lang w:eastAsia="en-AU"/>
          <w14:ligatures w14:val="standardContextual"/>
        </w:rPr>
      </w:pPr>
      <w:r w:rsidRPr="00617370">
        <w:t>Data</w:t>
      </w:r>
      <w:r w:rsidRPr="00617370">
        <w:tab/>
      </w:r>
      <w:r w:rsidRPr="00617370">
        <w:fldChar w:fldCharType="begin"/>
      </w:r>
      <w:r w:rsidRPr="00617370">
        <w:instrText xml:space="preserve"> PAGEREF _Toc166511939 \h </w:instrText>
      </w:r>
      <w:r w:rsidRPr="00617370">
        <w:fldChar w:fldCharType="separate"/>
      </w:r>
      <w:r w:rsidR="00795E71">
        <w:t>13</w:t>
      </w:r>
      <w:r w:rsidRPr="00617370">
        <w:fldChar w:fldCharType="end"/>
      </w:r>
    </w:p>
    <w:p w14:paraId="2F6805C4" w14:textId="1A749E88" w:rsidR="00025BFC" w:rsidRPr="00617370" w:rsidRDefault="00025BFC">
      <w:pPr>
        <w:pStyle w:val="TOC2"/>
        <w:rPr>
          <w:rFonts w:asciiTheme="minorHAnsi" w:eastAsiaTheme="minorEastAsia" w:hAnsiTheme="minorHAnsi" w:cstheme="minorBidi"/>
          <w:color w:val="auto"/>
          <w:kern w:val="2"/>
          <w:sz w:val="24"/>
          <w:szCs w:val="24"/>
          <w:lang w:eastAsia="en-AU"/>
          <w14:ligatures w14:val="standardContextual"/>
        </w:rPr>
      </w:pPr>
      <w:r w:rsidRPr="00617370">
        <w:t>Methodology</w:t>
      </w:r>
      <w:r w:rsidRPr="00617370">
        <w:tab/>
      </w:r>
      <w:r w:rsidRPr="00617370">
        <w:fldChar w:fldCharType="begin"/>
      </w:r>
      <w:r w:rsidRPr="00617370">
        <w:instrText xml:space="preserve"> PAGEREF _Toc166511940 \h </w:instrText>
      </w:r>
      <w:r w:rsidRPr="00617370">
        <w:fldChar w:fldCharType="separate"/>
      </w:r>
      <w:r w:rsidR="00795E71">
        <w:t>16</w:t>
      </w:r>
      <w:r w:rsidRPr="00617370">
        <w:fldChar w:fldCharType="end"/>
      </w:r>
    </w:p>
    <w:p w14:paraId="44B20C24" w14:textId="1F866018"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Results</w:t>
      </w:r>
      <w:r w:rsidRPr="00617370">
        <w:tab/>
      </w:r>
      <w:r w:rsidRPr="00617370">
        <w:fldChar w:fldCharType="begin"/>
      </w:r>
      <w:r w:rsidRPr="00617370">
        <w:instrText xml:space="preserve"> PAGEREF _Toc166511941 \h </w:instrText>
      </w:r>
      <w:r w:rsidRPr="00617370">
        <w:fldChar w:fldCharType="separate"/>
      </w:r>
      <w:r w:rsidR="00795E71">
        <w:t>18</w:t>
      </w:r>
      <w:r w:rsidRPr="00617370">
        <w:fldChar w:fldCharType="end"/>
      </w:r>
    </w:p>
    <w:p w14:paraId="7D88960B" w14:textId="741044A6"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Discussion</w:t>
      </w:r>
      <w:r w:rsidRPr="00617370">
        <w:tab/>
      </w:r>
      <w:r w:rsidRPr="00617370">
        <w:fldChar w:fldCharType="begin"/>
      </w:r>
      <w:r w:rsidRPr="00617370">
        <w:instrText xml:space="preserve"> PAGEREF _Toc166511942 \h </w:instrText>
      </w:r>
      <w:r w:rsidRPr="00617370">
        <w:fldChar w:fldCharType="separate"/>
      </w:r>
      <w:r w:rsidR="00795E71">
        <w:t>23</w:t>
      </w:r>
      <w:r w:rsidRPr="00617370">
        <w:fldChar w:fldCharType="end"/>
      </w:r>
    </w:p>
    <w:p w14:paraId="7BF12372" w14:textId="72E3218D"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References</w:t>
      </w:r>
      <w:r w:rsidRPr="00617370">
        <w:tab/>
      </w:r>
      <w:r w:rsidRPr="00617370">
        <w:fldChar w:fldCharType="begin"/>
      </w:r>
      <w:r w:rsidRPr="00617370">
        <w:instrText xml:space="preserve"> PAGEREF _Toc166511943 \h </w:instrText>
      </w:r>
      <w:r w:rsidRPr="00617370">
        <w:fldChar w:fldCharType="separate"/>
      </w:r>
      <w:r w:rsidR="00795E71">
        <w:t>25</w:t>
      </w:r>
      <w:r w:rsidRPr="00617370">
        <w:fldChar w:fldCharType="end"/>
      </w:r>
    </w:p>
    <w:p w14:paraId="6CE9CB91" w14:textId="08E77B1C" w:rsidR="00025BFC" w:rsidRPr="00617370" w:rsidRDefault="00025BFC">
      <w:pPr>
        <w:pStyle w:val="TOC1"/>
        <w:rPr>
          <w:rFonts w:asciiTheme="minorHAnsi" w:eastAsiaTheme="minorEastAsia" w:hAnsiTheme="minorHAnsi" w:cstheme="minorBidi"/>
          <w:color w:val="auto"/>
          <w:kern w:val="2"/>
          <w:sz w:val="24"/>
          <w:szCs w:val="24"/>
          <w:lang w:eastAsia="en-AU"/>
          <w14:ligatures w14:val="standardContextual"/>
        </w:rPr>
      </w:pPr>
      <w:r w:rsidRPr="00617370">
        <w:t>Appendix</w:t>
      </w:r>
      <w:r w:rsidRPr="00617370">
        <w:tab/>
      </w:r>
      <w:r w:rsidRPr="00617370">
        <w:fldChar w:fldCharType="begin"/>
      </w:r>
      <w:r w:rsidRPr="00617370">
        <w:instrText xml:space="preserve"> PAGEREF _Toc166511944 \h </w:instrText>
      </w:r>
      <w:r w:rsidRPr="00617370">
        <w:fldChar w:fldCharType="separate"/>
      </w:r>
      <w:r w:rsidR="00795E71">
        <w:t>27</w:t>
      </w:r>
      <w:r w:rsidRPr="00617370">
        <w:fldChar w:fldCharType="end"/>
      </w:r>
    </w:p>
    <w:p w14:paraId="752E46DD" w14:textId="07477072" w:rsidR="00ED0C08" w:rsidRPr="00617370" w:rsidRDefault="002947D3" w:rsidP="00CB0887">
      <w:pPr>
        <w:pStyle w:val="Text"/>
        <w:tabs>
          <w:tab w:val="right" w:pos="9072"/>
        </w:tabs>
        <w:ind w:right="-1"/>
        <w:rPr>
          <w:b/>
        </w:rPr>
      </w:pPr>
      <w:r w:rsidRPr="00617370">
        <w:rPr>
          <w:rFonts w:ascii="Avant Garde" w:hAnsi="Avant Garde"/>
          <w:noProof/>
          <w:szCs w:val="19"/>
        </w:rPr>
        <w:fldChar w:fldCharType="end"/>
      </w:r>
    </w:p>
    <w:p w14:paraId="0B618C91" w14:textId="77777777" w:rsidR="00ED0C08" w:rsidRPr="00617370" w:rsidRDefault="00ED0C08">
      <w:pPr>
        <w:spacing w:before="0" w:line="240" w:lineRule="auto"/>
        <w:rPr>
          <w:b/>
        </w:rPr>
      </w:pPr>
      <w:r w:rsidRPr="00617370">
        <w:rPr>
          <w:b/>
        </w:rPr>
        <w:br w:type="page"/>
      </w:r>
    </w:p>
    <w:p w14:paraId="385A48F4" w14:textId="77777777" w:rsidR="00ED0C08" w:rsidRPr="00617370" w:rsidRDefault="00ED0C08" w:rsidP="00ED0C08">
      <w:pPr>
        <w:pStyle w:val="Heading1"/>
      </w:pPr>
      <w:bookmarkStart w:id="25" w:name="_Toc316371579"/>
      <w:bookmarkStart w:id="26" w:name="_Toc166511932"/>
      <w:r w:rsidRPr="00617370">
        <w:lastRenderedPageBreak/>
        <w:t>Tables and figures</w:t>
      </w:r>
      <w:bookmarkEnd w:id="25"/>
      <w:bookmarkEnd w:id="26"/>
    </w:p>
    <w:p w14:paraId="7AAD8DE8" w14:textId="77777777" w:rsidR="00ED0C08" w:rsidRPr="00617370" w:rsidRDefault="00ED0C08" w:rsidP="00ED0C08">
      <w:pPr>
        <w:pStyle w:val="Heading2"/>
      </w:pPr>
      <w:bookmarkStart w:id="27" w:name="_Toc296497516"/>
      <w:bookmarkStart w:id="28" w:name="_Toc298162801"/>
      <w:bookmarkStart w:id="29" w:name="_Toc316371580"/>
      <w:bookmarkStart w:id="30" w:name="_Toc166511933"/>
      <w:r w:rsidRPr="00617370">
        <w:t>Tables</w:t>
      </w:r>
      <w:bookmarkEnd w:id="27"/>
      <w:bookmarkEnd w:id="28"/>
      <w:bookmarkEnd w:id="29"/>
      <w:bookmarkEnd w:id="30"/>
    </w:p>
    <w:p w14:paraId="665F8004" w14:textId="7933DCA8" w:rsidR="00BA4E23" w:rsidRPr="00617370" w:rsidRDefault="00ED0C08" w:rsidP="00674312">
      <w:pPr>
        <w:pStyle w:val="TableofFigures"/>
        <w:tabs>
          <w:tab w:val="clear" w:pos="284"/>
          <w:tab w:val="clear" w:pos="6804"/>
          <w:tab w:val="left" w:pos="851"/>
          <w:tab w:val="left" w:pos="7371"/>
        </w:tabs>
        <w:ind w:left="720" w:right="1700" w:hanging="720"/>
        <w:rPr>
          <w:rFonts w:asciiTheme="minorHAnsi" w:eastAsiaTheme="minorEastAsia" w:hAnsiTheme="minorHAnsi" w:cstheme="minorBidi"/>
          <w:color w:val="auto"/>
          <w:spacing w:val="-4"/>
          <w:kern w:val="2"/>
          <w:sz w:val="24"/>
          <w:szCs w:val="24"/>
          <w:lang w:eastAsia="en-AU"/>
          <w14:ligatures w14:val="standardContextual"/>
        </w:rPr>
      </w:pPr>
      <w:r w:rsidRPr="00617370">
        <w:fldChar w:fldCharType="begin"/>
      </w:r>
      <w:r w:rsidRPr="00617370">
        <w:instrText xml:space="preserve"> TOC \f F \t "tabletitle" \c </w:instrText>
      </w:r>
      <w:r w:rsidRPr="00617370">
        <w:fldChar w:fldCharType="separate"/>
      </w:r>
      <w:r w:rsidR="00BA4E23" w:rsidRPr="00617370">
        <w:rPr>
          <w:spacing w:val="-4"/>
        </w:rPr>
        <w:t>Table 1</w:t>
      </w:r>
      <w:r w:rsidR="00F6294F" w:rsidRPr="00617370">
        <w:rPr>
          <w:rFonts w:asciiTheme="minorHAnsi" w:eastAsiaTheme="minorEastAsia" w:hAnsiTheme="minorHAnsi" w:cstheme="minorBidi"/>
          <w:color w:val="auto"/>
          <w:spacing w:val="-4"/>
          <w:kern w:val="2"/>
          <w:sz w:val="24"/>
          <w:szCs w:val="24"/>
          <w:lang w:eastAsia="en-AU"/>
          <w14:ligatures w14:val="standardContextual"/>
        </w:rPr>
        <w:tab/>
      </w:r>
      <w:r w:rsidR="00BA4E23" w:rsidRPr="00617370">
        <w:rPr>
          <w:spacing w:val="-4"/>
        </w:rPr>
        <w:t>Demographic profile of LSAY respondents by ATAR outcomes</w:t>
      </w:r>
      <w:r w:rsidR="00BA4E23" w:rsidRPr="00617370">
        <w:rPr>
          <w:spacing w:val="-4"/>
        </w:rPr>
        <w:tab/>
      </w:r>
      <w:r w:rsidR="00BA4E23" w:rsidRPr="00617370">
        <w:rPr>
          <w:spacing w:val="-4"/>
        </w:rPr>
        <w:fldChar w:fldCharType="begin"/>
      </w:r>
      <w:r w:rsidR="00BA4E23" w:rsidRPr="00617370">
        <w:rPr>
          <w:spacing w:val="-4"/>
        </w:rPr>
        <w:instrText xml:space="preserve"> PAGEREF _Toc163480802 \h </w:instrText>
      </w:r>
      <w:r w:rsidR="00BA4E23" w:rsidRPr="00617370">
        <w:rPr>
          <w:spacing w:val="-4"/>
        </w:rPr>
      </w:r>
      <w:r w:rsidR="00BA4E23" w:rsidRPr="00617370">
        <w:rPr>
          <w:spacing w:val="-4"/>
        </w:rPr>
        <w:fldChar w:fldCharType="separate"/>
      </w:r>
      <w:r w:rsidR="00795E71">
        <w:rPr>
          <w:spacing w:val="-4"/>
        </w:rPr>
        <w:t>15</w:t>
      </w:r>
      <w:r w:rsidR="00BA4E23" w:rsidRPr="00617370">
        <w:rPr>
          <w:spacing w:val="-4"/>
        </w:rPr>
        <w:fldChar w:fldCharType="end"/>
      </w:r>
    </w:p>
    <w:p w14:paraId="78BEFDB4" w14:textId="36CF06B0" w:rsidR="00BA4E23" w:rsidRPr="00617370" w:rsidRDefault="00BA4E23" w:rsidP="00674312">
      <w:pPr>
        <w:pStyle w:val="TableofFigures"/>
        <w:tabs>
          <w:tab w:val="clear" w:pos="284"/>
          <w:tab w:val="clear" w:pos="6804"/>
          <w:tab w:val="left" w:pos="851"/>
          <w:tab w:val="left" w:pos="7371"/>
        </w:tabs>
        <w:ind w:left="720" w:right="1700" w:hanging="720"/>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2</w:t>
      </w:r>
      <w:r w:rsidR="00F6294F" w:rsidRPr="00617370">
        <w:rPr>
          <w:rFonts w:asciiTheme="minorHAnsi" w:eastAsiaTheme="minorEastAsia" w:hAnsiTheme="minorHAnsi" w:cstheme="minorBidi"/>
          <w:color w:val="auto"/>
          <w:spacing w:val="-4"/>
          <w:kern w:val="2"/>
          <w:sz w:val="24"/>
          <w:szCs w:val="24"/>
          <w:lang w:eastAsia="en-AU"/>
          <w14:ligatures w14:val="standardContextual"/>
        </w:rPr>
        <w:tab/>
      </w:r>
      <w:r w:rsidRPr="00617370">
        <w:rPr>
          <w:spacing w:val="-4"/>
        </w:rPr>
        <w:t>Year 9 NAPLAN scores of LSAY respondents by ATAR outcomes</w:t>
      </w:r>
      <w:r w:rsidRPr="00617370">
        <w:rPr>
          <w:spacing w:val="-4"/>
        </w:rPr>
        <w:tab/>
      </w:r>
      <w:r w:rsidRPr="00617370">
        <w:rPr>
          <w:spacing w:val="-4"/>
        </w:rPr>
        <w:fldChar w:fldCharType="begin"/>
      </w:r>
      <w:r w:rsidRPr="00617370">
        <w:rPr>
          <w:spacing w:val="-4"/>
        </w:rPr>
        <w:instrText xml:space="preserve"> PAGEREF _Toc163480803 \h </w:instrText>
      </w:r>
      <w:r w:rsidRPr="00617370">
        <w:rPr>
          <w:spacing w:val="-4"/>
        </w:rPr>
      </w:r>
      <w:r w:rsidRPr="00617370">
        <w:rPr>
          <w:spacing w:val="-4"/>
        </w:rPr>
        <w:fldChar w:fldCharType="separate"/>
      </w:r>
      <w:r w:rsidR="00795E71">
        <w:rPr>
          <w:spacing w:val="-4"/>
        </w:rPr>
        <w:t>15</w:t>
      </w:r>
      <w:r w:rsidRPr="00617370">
        <w:rPr>
          <w:spacing w:val="-4"/>
        </w:rPr>
        <w:fldChar w:fldCharType="end"/>
      </w:r>
    </w:p>
    <w:p w14:paraId="5217E3F1" w14:textId="22254E22" w:rsidR="00BA4E23" w:rsidRPr="00617370" w:rsidRDefault="00BA4E23" w:rsidP="00674312">
      <w:pPr>
        <w:pStyle w:val="TableofFigures"/>
        <w:tabs>
          <w:tab w:val="clear" w:pos="284"/>
          <w:tab w:val="clear" w:pos="6804"/>
          <w:tab w:val="left" w:pos="851"/>
          <w:tab w:val="left" w:pos="7371"/>
        </w:tabs>
        <w:ind w:left="720" w:right="1700" w:hanging="720"/>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3</w:t>
      </w:r>
      <w:r w:rsidR="00F6294F" w:rsidRPr="00617370">
        <w:rPr>
          <w:rFonts w:asciiTheme="minorHAnsi" w:eastAsiaTheme="minorEastAsia" w:hAnsiTheme="minorHAnsi" w:cstheme="minorBidi"/>
          <w:color w:val="auto"/>
          <w:spacing w:val="-4"/>
          <w:kern w:val="2"/>
          <w:sz w:val="24"/>
          <w:szCs w:val="24"/>
          <w:lang w:eastAsia="en-AU"/>
          <w14:ligatures w14:val="standardContextual"/>
        </w:rPr>
        <w:tab/>
      </w:r>
      <w:r w:rsidRPr="00617370">
        <w:rPr>
          <w:spacing w:val="-4"/>
        </w:rPr>
        <w:t xml:space="preserve">Characteristics associated with receiving an ATAR score and </w:t>
      </w:r>
      <w:r w:rsidR="00F6294F" w:rsidRPr="00617370">
        <w:rPr>
          <w:spacing w:val="-4"/>
        </w:rPr>
        <w:br/>
      </w:r>
      <w:r w:rsidRPr="00617370">
        <w:rPr>
          <w:spacing w:val="-4"/>
        </w:rPr>
        <w:t xml:space="preserve">achieving a </w:t>
      </w:r>
      <w:r w:rsidRPr="00617370">
        <w:rPr>
          <w:i/>
          <w:iCs/>
          <w:spacing w:val="-4"/>
        </w:rPr>
        <w:t>high</w:t>
      </w:r>
      <w:r w:rsidRPr="00617370">
        <w:rPr>
          <w:spacing w:val="-4"/>
        </w:rPr>
        <w:t xml:space="preserve"> ATAR score</w:t>
      </w:r>
      <w:r w:rsidRPr="00617370">
        <w:rPr>
          <w:spacing w:val="-4"/>
        </w:rPr>
        <w:tab/>
      </w:r>
      <w:r w:rsidRPr="00617370">
        <w:rPr>
          <w:spacing w:val="-4"/>
        </w:rPr>
        <w:fldChar w:fldCharType="begin"/>
      </w:r>
      <w:r w:rsidRPr="00617370">
        <w:rPr>
          <w:spacing w:val="-4"/>
        </w:rPr>
        <w:instrText xml:space="preserve"> PAGEREF _Toc163480804 \h </w:instrText>
      </w:r>
      <w:r w:rsidRPr="00617370">
        <w:rPr>
          <w:spacing w:val="-4"/>
        </w:rPr>
      </w:r>
      <w:r w:rsidRPr="00617370">
        <w:rPr>
          <w:spacing w:val="-4"/>
        </w:rPr>
        <w:fldChar w:fldCharType="separate"/>
      </w:r>
      <w:r w:rsidR="00795E71">
        <w:rPr>
          <w:spacing w:val="-4"/>
        </w:rPr>
        <w:t>18</w:t>
      </w:r>
      <w:r w:rsidRPr="00617370">
        <w:rPr>
          <w:spacing w:val="-4"/>
        </w:rPr>
        <w:fldChar w:fldCharType="end"/>
      </w:r>
    </w:p>
    <w:p w14:paraId="799070A2" w14:textId="25B0399F" w:rsidR="00BA4E23" w:rsidRPr="00617370" w:rsidRDefault="00BA4E23" w:rsidP="00674312">
      <w:pPr>
        <w:pStyle w:val="TableofFigures"/>
        <w:tabs>
          <w:tab w:val="clear" w:pos="284"/>
          <w:tab w:val="clear" w:pos="6804"/>
          <w:tab w:val="left" w:pos="851"/>
          <w:tab w:val="left" w:pos="7371"/>
        </w:tabs>
        <w:ind w:left="720" w:right="1700" w:hanging="720"/>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4</w:t>
      </w:r>
      <w:r w:rsidR="00F6294F" w:rsidRPr="00617370">
        <w:rPr>
          <w:rFonts w:asciiTheme="minorHAnsi" w:eastAsiaTheme="minorEastAsia" w:hAnsiTheme="minorHAnsi" w:cstheme="minorBidi"/>
          <w:color w:val="auto"/>
          <w:spacing w:val="-4"/>
          <w:kern w:val="2"/>
          <w:sz w:val="24"/>
          <w:szCs w:val="24"/>
          <w:lang w:eastAsia="en-AU"/>
          <w14:ligatures w14:val="standardContextual"/>
        </w:rPr>
        <w:tab/>
      </w:r>
      <w:r w:rsidRPr="00617370">
        <w:rPr>
          <w:spacing w:val="-4"/>
        </w:rPr>
        <w:t>Odds</w:t>
      </w:r>
      <w:r w:rsidR="0023188A" w:rsidRPr="00617370">
        <w:rPr>
          <w:spacing w:val="-4"/>
        </w:rPr>
        <w:t xml:space="preserve"> </w:t>
      </w:r>
      <w:r w:rsidRPr="00617370">
        <w:rPr>
          <w:spacing w:val="-4"/>
        </w:rPr>
        <w:t>ratio output for mixed</w:t>
      </w:r>
      <w:r w:rsidR="00D71FC0" w:rsidRPr="00617370">
        <w:rPr>
          <w:spacing w:val="-4"/>
        </w:rPr>
        <w:t>-</w:t>
      </w:r>
      <w:r w:rsidRPr="00617370">
        <w:rPr>
          <w:spacing w:val="-4"/>
        </w:rPr>
        <w:t xml:space="preserve">effect modelling of ATAR recipients </w:t>
      </w:r>
      <w:r w:rsidR="00F6294F" w:rsidRPr="00617370">
        <w:rPr>
          <w:spacing w:val="-4"/>
        </w:rPr>
        <w:br/>
      </w:r>
      <w:r w:rsidRPr="00617370">
        <w:rPr>
          <w:spacing w:val="-4"/>
        </w:rPr>
        <w:t>and ATAR high</w:t>
      </w:r>
      <w:r w:rsidR="00D71FC0" w:rsidRPr="00617370">
        <w:rPr>
          <w:spacing w:val="-4"/>
        </w:rPr>
        <w:t xml:space="preserve"> </w:t>
      </w:r>
      <w:r w:rsidRPr="00617370">
        <w:rPr>
          <w:spacing w:val="-4"/>
        </w:rPr>
        <w:t xml:space="preserve">achievers on NAPLAN achievement scores and </w:t>
      </w:r>
      <w:r w:rsidR="00F6294F" w:rsidRPr="00617370">
        <w:rPr>
          <w:spacing w:val="-4"/>
        </w:rPr>
        <w:br/>
      </w:r>
      <w:r w:rsidRPr="00617370">
        <w:rPr>
          <w:spacing w:val="-4"/>
        </w:rPr>
        <w:t>respondents’ socio-demographic variables</w:t>
      </w:r>
      <w:r w:rsidRPr="00617370">
        <w:rPr>
          <w:spacing w:val="-4"/>
        </w:rPr>
        <w:tab/>
      </w:r>
      <w:r w:rsidRPr="00617370">
        <w:rPr>
          <w:spacing w:val="-4"/>
        </w:rPr>
        <w:fldChar w:fldCharType="begin"/>
      </w:r>
      <w:r w:rsidRPr="00617370">
        <w:rPr>
          <w:spacing w:val="-4"/>
        </w:rPr>
        <w:instrText xml:space="preserve"> PAGEREF _Toc163480805 \h </w:instrText>
      </w:r>
      <w:r w:rsidRPr="00617370">
        <w:rPr>
          <w:spacing w:val="-4"/>
        </w:rPr>
      </w:r>
      <w:r w:rsidRPr="00617370">
        <w:rPr>
          <w:spacing w:val="-4"/>
        </w:rPr>
        <w:fldChar w:fldCharType="separate"/>
      </w:r>
      <w:r w:rsidR="00795E71">
        <w:rPr>
          <w:spacing w:val="-4"/>
        </w:rPr>
        <w:t>18</w:t>
      </w:r>
      <w:r w:rsidRPr="00617370">
        <w:rPr>
          <w:spacing w:val="-4"/>
        </w:rPr>
        <w:fldChar w:fldCharType="end"/>
      </w:r>
    </w:p>
    <w:p w14:paraId="353E001F" w14:textId="202F2FC9" w:rsidR="00BA4E23" w:rsidRPr="00617370" w:rsidRDefault="00BA4E23" w:rsidP="00674312">
      <w:pPr>
        <w:pStyle w:val="TableofFigures"/>
        <w:tabs>
          <w:tab w:val="clear" w:pos="284"/>
          <w:tab w:val="clear" w:pos="6804"/>
          <w:tab w:val="left" w:pos="851"/>
          <w:tab w:val="left" w:pos="7371"/>
        </w:tabs>
        <w:ind w:left="720" w:right="1700" w:hanging="720"/>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5</w:t>
      </w:r>
      <w:r w:rsidR="00F6294F" w:rsidRPr="00617370">
        <w:rPr>
          <w:rFonts w:asciiTheme="minorHAnsi" w:eastAsiaTheme="minorEastAsia" w:hAnsiTheme="minorHAnsi" w:cstheme="minorBidi"/>
          <w:color w:val="auto"/>
          <w:spacing w:val="-4"/>
          <w:kern w:val="2"/>
          <w:sz w:val="24"/>
          <w:szCs w:val="24"/>
          <w:lang w:eastAsia="en-AU"/>
          <w14:ligatures w14:val="standardContextual"/>
        </w:rPr>
        <w:tab/>
      </w:r>
      <w:r w:rsidRPr="00617370">
        <w:rPr>
          <w:spacing w:val="-4"/>
        </w:rPr>
        <w:t xml:space="preserve">Standardised coefficients estimates for ATAR recipients and </w:t>
      </w:r>
      <w:r w:rsidR="00F6294F" w:rsidRPr="00617370">
        <w:rPr>
          <w:spacing w:val="-4"/>
        </w:rPr>
        <w:br/>
      </w:r>
      <w:r w:rsidRPr="00617370">
        <w:rPr>
          <w:spacing w:val="-4"/>
        </w:rPr>
        <w:t>ATAR high achievers</w:t>
      </w:r>
      <w:r w:rsidRPr="00617370">
        <w:rPr>
          <w:spacing w:val="-4"/>
        </w:rPr>
        <w:tab/>
      </w:r>
      <w:r w:rsidRPr="00617370">
        <w:rPr>
          <w:spacing w:val="-4"/>
        </w:rPr>
        <w:fldChar w:fldCharType="begin"/>
      </w:r>
      <w:r w:rsidRPr="00617370">
        <w:rPr>
          <w:spacing w:val="-4"/>
        </w:rPr>
        <w:instrText xml:space="preserve"> PAGEREF _Toc163480806 \h </w:instrText>
      </w:r>
      <w:r w:rsidRPr="00617370">
        <w:rPr>
          <w:spacing w:val="-4"/>
        </w:rPr>
      </w:r>
      <w:r w:rsidRPr="00617370">
        <w:rPr>
          <w:spacing w:val="-4"/>
        </w:rPr>
        <w:fldChar w:fldCharType="separate"/>
      </w:r>
      <w:r w:rsidR="00795E71">
        <w:rPr>
          <w:spacing w:val="-4"/>
        </w:rPr>
        <w:t>21</w:t>
      </w:r>
      <w:r w:rsidRPr="00617370">
        <w:rPr>
          <w:spacing w:val="-4"/>
        </w:rPr>
        <w:fldChar w:fldCharType="end"/>
      </w:r>
    </w:p>
    <w:p w14:paraId="2697761C" w14:textId="03002F23" w:rsidR="00BA4E23" w:rsidRPr="00617370" w:rsidRDefault="00BA4E23" w:rsidP="00674312">
      <w:pPr>
        <w:pStyle w:val="TableofFigures"/>
        <w:tabs>
          <w:tab w:val="clear" w:pos="284"/>
          <w:tab w:val="clear" w:pos="6804"/>
          <w:tab w:val="left" w:pos="851"/>
          <w:tab w:val="left" w:pos="7371"/>
        </w:tabs>
        <w:ind w:left="851" w:right="1701" w:hanging="851"/>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A1</w:t>
      </w:r>
      <w:r w:rsidRPr="00617370">
        <w:rPr>
          <w:rFonts w:asciiTheme="minorHAnsi" w:eastAsiaTheme="minorEastAsia" w:hAnsiTheme="minorHAnsi" w:cstheme="minorBidi"/>
          <w:color w:val="auto"/>
          <w:spacing w:val="-4"/>
          <w:kern w:val="2"/>
          <w:sz w:val="24"/>
          <w:szCs w:val="24"/>
          <w:lang w:eastAsia="en-AU"/>
          <w14:ligatures w14:val="standardContextual"/>
        </w:rPr>
        <w:tab/>
      </w:r>
      <w:r w:rsidRPr="00617370">
        <w:rPr>
          <w:spacing w:val="-4"/>
        </w:rPr>
        <w:t xml:space="preserve">Correlation between ATAR outcomes and NAPLAN achievement </w:t>
      </w:r>
      <w:r w:rsidR="00F6294F" w:rsidRPr="00617370">
        <w:rPr>
          <w:spacing w:val="-4"/>
        </w:rPr>
        <w:br/>
      </w:r>
      <w:r w:rsidRPr="00617370">
        <w:rPr>
          <w:spacing w:val="-4"/>
        </w:rPr>
        <w:t>scores for all year levels</w:t>
      </w:r>
      <w:r w:rsidRPr="00617370">
        <w:rPr>
          <w:spacing w:val="-4"/>
        </w:rPr>
        <w:tab/>
      </w:r>
      <w:r w:rsidRPr="00617370">
        <w:rPr>
          <w:spacing w:val="-4"/>
        </w:rPr>
        <w:fldChar w:fldCharType="begin"/>
      </w:r>
      <w:r w:rsidRPr="00617370">
        <w:rPr>
          <w:spacing w:val="-4"/>
        </w:rPr>
        <w:instrText xml:space="preserve"> PAGEREF _Toc163480807 \h </w:instrText>
      </w:r>
      <w:r w:rsidRPr="00617370">
        <w:rPr>
          <w:spacing w:val="-4"/>
        </w:rPr>
      </w:r>
      <w:r w:rsidRPr="00617370">
        <w:rPr>
          <w:spacing w:val="-4"/>
        </w:rPr>
        <w:fldChar w:fldCharType="separate"/>
      </w:r>
      <w:r w:rsidR="00795E71">
        <w:rPr>
          <w:spacing w:val="-4"/>
        </w:rPr>
        <w:t>27</w:t>
      </w:r>
      <w:r w:rsidRPr="00617370">
        <w:rPr>
          <w:spacing w:val="-4"/>
        </w:rPr>
        <w:fldChar w:fldCharType="end"/>
      </w:r>
    </w:p>
    <w:p w14:paraId="1B9AE9A4" w14:textId="295CFA7A" w:rsidR="00BA4E23" w:rsidRPr="00617370" w:rsidRDefault="00BA4E23" w:rsidP="00674312">
      <w:pPr>
        <w:pStyle w:val="TableofFigures"/>
        <w:tabs>
          <w:tab w:val="clear" w:pos="284"/>
          <w:tab w:val="clear" w:pos="6804"/>
          <w:tab w:val="left" w:pos="851"/>
          <w:tab w:val="left" w:pos="7371"/>
        </w:tabs>
        <w:ind w:left="851" w:right="1701" w:hanging="851"/>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A2</w:t>
      </w:r>
      <w:r w:rsidRPr="00617370">
        <w:rPr>
          <w:rFonts w:asciiTheme="minorHAnsi" w:eastAsiaTheme="minorEastAsia" w:hAnsiTheme="minorHAnsi" w:cstheme="minorBidi"/>
          <w:color w:val="auto"/>
          <w:spacing w:val="-4"/>
          <w:kern w:val="2"/>
          <w:sz w:val="24"/>
          <w:szCs w:val="24"/>
          <w:lang w:eastAsia="en-AU"/>
          <w14:ligatures w14:val="standardContextual"/>
        </w:rPr>
        <w:tab/>
      </w:r>
      <w:r w:rsidRPr="00617370">
        <w:rPr>
          <w:spacing w:val="-4"/>
        </w:rPr>
        <w:t xml:space="preserve">Correlation between ATAR outcomes and year 9 NAPLAN </w:t>
      </w:r>
      <w:r w:rsidR="00F6294F" w:rsidRPr="00617370">
        <w:rPr>
          <w:spacing w:val="-4"/>
        </w:rPr>
        <w:br/>
      </w:r>
      <w:r w:rsidRPr="00617370">
        <w:rPr>
          <w:spacing w:val="-4"/>
        </w:rPr>
        <w:t>achievement scores</w:t>
      </w:r>
      <w:r w:rsidRPr="00617370">
        <w:rPr>
          <w:spacing w:val="-4"/>
        </w:rPr>
        <w:tab/>
      </w:r>
      <w:r w:rsidRPr="00617370">
        <w:rPr>
          <w:spacing w:val="-4"/>
        </w:rPr>
        <w:fldChar w:fldCharType="begin"/>
      </w:r>
      <w:r w:rsidRPr="00617370">
        <w:rPr>
          <w:spacing w:val="-4"/>
        </w:rPr>
        <w:instrText xml:space="preserve"> PAGEREF _Toc163480808 \h </w:instrText>
      </w:r>
      <w:r w:rsidRPr="00617370">
        <w:rPr>
          <w:spacing w:val="-4"/>
        </w:rPr>
      </w:r>
      <w:r w:rsidRPr="00617370">
        <w:rPr>
          <w:spacing w:val="-4"/>
        </w:rPr>
        <w:fldChar w:fldCharType="separate"/>
      </w:r>
      <w:r w:rsidR="00795E71">
        <w:rPr>
          <w:spacing w:val="-4"/>
        </w:rPr>
        <w:t>27</w:t>
      </w:r>
      <w:r w:rsidRPr="00617370">
        <w:rPr>
          <w:spacing w:val="-4"/>
        </w:rPr>
        <w:fldChar w:fldCharType="end"/>
      </w:r>
    </w:p>
    <w:p w14:paraId="2101E769" w14:textId="36A215DB" w:rsidR="00BA4E23" w:rsidRPr="00617370" w:rsidRDefault="00BA4E23" w:rsidP="00674312">
      <w:pPr>
        <w:pStyle w:val="TableofFigures"/>
        <w:tabs>
          <w:tab w:val="clear" w:pos="284"/>
          <w:tab w:val="clear" w:pos="6804"/>
          <w:tab w:val="left" w:pos="851"/>
          <w:tab w:val="left" w:pos="7371"/>
        </w:tabs>
        <w:ind w:left="851" w:right="1701" w:hanging="851"/>
        <w:rPr>
          <w:rFonts w:asciiTheme="minorHAnsi" w:eastAsiaTheme="minorEastAsia" w:hAnsiTheme="minorHAnsi" w:cstheme="minorBidi"/>
          <w:color w:val="auto"/>
          <w:spacing w:val="-4"/>
          <w:kern w:val="2"/>
          <w:sz w:val="24"/>
          <w:szCs w:val="24"/>
          <w:lang w:eastAsia="en-AU"/>
          <w14:ligatures w14:val="standardContextual"/>
        </w:rPr>
      </w:pPr>
      <w:r w:rsidRPr="00617370">
        <w:rPr>
          <w:spacing w:val="-4"/>
        </w:rPr>
        <w:t>Table A3</w:t>
      </w:r>
      <w:r w:rsidR="00F6294F" w:rsidRPr="00617370">
        <w:rPr>
          <w:spacing w:val="-4"/>
        </w:rPr>
        <w:tab/>
      </w:r>
      <w:r w:rsidRPr="00617370">
        <w:rPr>
          <w:spacing w:val="-4"/>
        </w:rPr>
        <w:t xml:space="preserve">Correlation between domains of </w:t>
      </w:r>
      <w:r w:rsidR="004838E6" w:rsidRPr="00617370">
        <w:rPr>
          <w:spacing w:val="-4"/>
        </w:rPr>
        <w:t>Y</w:t>
      </w:r>
      <w:r w:rsidRPr="00617370">
        <w:rPr>
          <w:spacing w:val="-4"/>
        </w:rPr>
        <w:t>ear 9 NAPLAN achievement scores</w:t>
      </w:r>
      <w:r w:rsidRPr="00617370">
        <w:rPr>
          <w:spacing w:val="-4"/>
        </w:rPr>
        <w:tab/>
      </w:r>
      <w:r w:rsidRPr="00617370">
        <w:rPr>
          <w:spacing w:val="-4"/>
        </w:rPr>
        <w:fldChar w:fldCharType="begin"/>
      </w:r>
      <w:r w:rsidRPr="00617370">
        <w:rPr>
          <w:spacing w:val="-4"/>
        </w:rPr>
        <w:instrText xml:space="preserve"> PAGEREF _Toc163480809 \h </w:instrText>
      </w:r>
      <w:r w:rsidRPr="00617370">
        <w:rPr>
          <w:spacing w:val="-4"/>
        </w:rPr>
      </w:r>
      <w:r w:rsidRPr="00617370">
        <w:rPr>
          <w:spacing w:val="-4"/>
        </w:rPr>
        <w:fldChar w:fldCharType="separate"/>
      </w:r>
      <w:r w:rsidR="00795E71">
        <w:rPr>
          <w:spacing w:val="-4"/>
        </w:rPr>
        <w:t>27</w:t>
      </w:r>
      <w:r w:rsidRPr="00617370">
        <w:rPr>
          <w:spacing w:val="-4"/>
        </w:rPr>
        <w:fldChar w:fldCharType="end"/>
      </w:r>
    </w:p>
    <w:p w14:paraId="4FE6ED2D" w14:textId="440A24A9" w:rsidR="00606061" w:rsidRPr="00617370" w:rsidRDefault="00ED0C08" w:rsidP="00674312">
      <w:pPr>
        <w:pStyle w:val="Text"/>
        <w:tabs>
          <w:tab w:val="left" w:pos="851"/>
          <w:tab w:val="left" w:pos="7371"/>
        </w:tabs>
        <w:ind w:left="720" w:hanging="720"/>
      </w:pPr>
      <w:r w:rsidRPr="00617370">
        <w:rPr>
          <w:rFonts w:ascii="Arial" w:hAnsi="Arial" w:cs="Tahoma"/>
          <w:noProof/>
          <w:color w:val="000000"/>
          <w:sz w:val="28"/>
          <w:szCs w:val="19"/>
        </w:rPr>
        <w:fldChar w:fldCharType="end"/>
      </w:r>
      <w:bookmarkStart w:id="31" w:name="_Toc416260886"/>
      <w:bookmarkEnd w:id="3"/>
      <w:bookmarkEnd w:id="4"/>
      <w:bookmarkEnd w:id="5"/>
      <w:bookmarkEnd w:id="6"/>
    </w:p>
    <w:p w14:paraId="6925ADD0" w14:textId="77777777" w:rsidR="00366E4E" w:rsidRPr="00617370" w:rsidRDefault="00366E4E" w:rsidP="00606061">
      <w:pPr>
        <w:spacing w:before="0" w:line="240" w:lineRule="auto"/>
        <w:rPr>
          <w:noProof/>
        </w:rPr>
        <w:sectPr w:rsidR="00366E4E" w:rsidRPr="00617370" w:rsidSect="00033F16">
          <w:headerReference w:type="default" r:id="rId51"/>
          <w:footerReference w:type="even" r:id="rId52"/>
          <w:footerReference w:type="default" r:id="rId53"/>
          <w:pgSz w:w="11907" w:h="16840" w:code="9"/>
          <w:pgMar w:top="1276" w:right="1418" w:bottom="992" w:left="1418" w:header="709" w:footer="556" w:gutter="0"/>
          <w:cols w:space="708"/>
          <w:docGrid w:linePitch="360"/>
        </w:sectPr>
      </w:pPr>
    </w:p>
    <w:bookmarkStart w:id="32" w:name="_Toc275542999"/>
    <w:bookmarkStart w:id="33" w:name="_Toc166511934"/>
    <w:p w14:paraId="6589F5ED" w14:textId="71FE0DE2" w:rsidR="00324917" w:rsidRPr="00617370" w:rsidRDefault="00F01194" w:rsidP="00A16557">
      <w:pPr>
        <w:pStyle w:val="Heading1"/>
        <w:ind w:firstLine="720"/>
      </w:pPr>
      <w:r w:rsidRPr="00617370">
        <w:rPr>
          <w:noProof/>
          <w:lang w:eastAsia="en-AU"/>
        </w:rPr>
        <w:lastRenderedPageBreak/>
        <mc:AlternateContent>
          <mc:Choice Requires="wps">
            <w:drawing>
              <wp:anchor distT="0" distB="0" distL="114300" distR="114300" simplePos="0" relativeHeight="251658252" behindDoc="0" locked="0" layoutInCell="1" allowOverlap="1" wp14:anchorId="23FD9097" wp14:editId="30493A92">
                <wp:simplePos x="0" y="0"/>
                <wp:positionH relativeFrom="margin">
                  <wp:posOffset>-52153</wp:posOffset>
                </wp:positionH>
                <wp:positionV relativeFrom="paragraph">
                  <wp:posOffset>-670532</wp:posOffset>
                </wp:positionV>
                <wp:extent cx="5038725" cy="6000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50387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82834" w14:textId="62817532" w:rsidR="00156177" w:rsidRPr="00156177" w:rsidRDefault="00156177" w:rsidP="009272DF">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D9097" id="Text Box 66" o:spid="_x0000_s1029" type="#_x0000_t202" style="position:absolute;left:0;text-align:left;margin-left:-4.1pt;margin-top:-52.8pt;width:396.75pt;height:47.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" filled="f" stroked="f" strokeweight=".5pt">
                <v:textbox>
                  <w:txbxContent>
                    <w:p w14:paraId="6A282834" w14:textId="62817532" w:rsidR="00156177" w:rsidRPr="00156177" w:rsidRDefault="00156177" w:rsidP="009272DF">
                      <w:pPr>
                        <w:rPr>
                          <w:color w:val="C00000"/>
                        </w:rPr>
                      </w:pPr>
                    </w:p>
                  </w:txbxContent>
                </v:textbox>
                <w10:wrap anchorx="margin"/>
              </v:shape>
            </w:pict>
          </mc:Fallback>
        </mc:AlternateContent>
      </w:r>
      <w:r w:rsidR="00324917" w:rsidRPr="00617370">
        <w:t>Executive summary</w:t>
      </w:r>
      <w:bookmarkEnd w:id="32"/>
      <w:bookmarkEnd w:id="33"/>
      <w:r w:rsidR="00324917" w:rsidRPr="00617370">
        <w:t xml:space="preserve"> </w:t>
      </w:r>
    </w:p>
    <w:p w14:paraId="29B2C2CC" w14:textId="1283D67A" w:rsidR="002B4BB2" w:rsidRPr="00617370" w:rsidRDefault="00A16557" w:rsidP="00674312">
      <w:pPr>
        <w:pStyle w:val="Text"/>
      </w:pPr>
      <w:r w:rsidRPr="00617370">
        <w:rPr>
          <w:noProof/>
          <w:lang w:eastAsia="en-AU"/>
        </w:rPr>
        <w:drawing>
          <wp:anchor distT="0" distB="0" distL="114300" distR="114300" simplePos="0" relativeHeight="251658248" behindDoc="0" locked="0" layoutInCell="1" allowOverlap="1" wp14:anchorId="7ABA71AA" wp14:editId="40CDCB9D">
            <wp:simplePos x="0" y="0"/>
            <wp:positionH relativeFrom="column">
              <wp:posOffset>0</wp:posOffset>
            </wp:positionH>
            <wp:positionV relativeFrom="paragraph">
              <wp:posOffset>-609074</wp:posOffset>
            </wp:positionV>
            <wp:extent cx="413385" cy="413385"/>
            <wp:effectExtent l="0" t="0" r="5715" b="5715"/>
            <wp:wrapNone/>
            <wp:docPr id="70" name="Picture 70" descr="P:\PublicationComponents\Icons\ExecutiveSummar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ublicationComponents\Icons\ExecutiveSummary.em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BB2" w:rsidRPr="00617370">
        <w:t xml:space="preserve">Year 12 completion marks an important milestone for </w:t>
      </w:r>
      <w:r w:rsidR="007A4BFC" w:rsidRPr="00617370">
        <w:t>individuals</w:t>
      </w:r>
      <w:r w:rsidR="002B4BB2" w:rsidRPr="00617370">
        <w:t xml:space="preserve"> looking to pursue tertiary education. In addition, those who complete Year 12 tend to have more successful transitions from education to work, leading to greater choice in employment pathways, increased job security and higher wages (Chesters &amp; Cuervo 2022; Lee 2010; Ryan 2011; Productivity Commission 2019). </w:t>
      </w:r>
    </w:p>
    <w:p w14:paraId="49E7C73A" w14:textId="25139B5D" w:rsidR="002B4BB2" w:rsidRPr="00617370" w:rsidRDefault="002B4BB2" w:rsidP="00674312">
      <w:pPr>
        <w:pStyle w:val="Text"/>
        <w:rPr>
          <w:spacing w:val="2"/>
        </w:rPr>
      </w:pPr>
      <w:r w:rsidRPr="00617370">
        <w:rPr>
          <w:spacing w:val="2"/>
        </w:rPr>
        <w:t xml:space="preserve">Prior academic achievement consistently </w:t>
      </w:r>
      <w:r w:rsidR="007A4BFC" w:rsidRPr="00617370">
        <w:rPr>
          <w:spacing w:val="2"/>
        </w:rPr>
        <w:t xml:space="preserve">stands out </w:t>
      </w:r>
      <w:r w:rsidRPr="00617370">
        <w:rPr>
          <w:spacing w:val="2"/>
        </w:rPr>
        <w:t xml:space="preserve">as one of the most significant </w:t>
      </w:r>
      <w:r w:rsidR="00575FD2" w:rsidRPr="00617370">
        <w:rPr>
          <w:spacing w:val="2"/>
        </w:rPr>
        <w:t xml:space="preserve">influences </w:t>
      </w:r>
      <w:r w:rsidR="000607B5" w:rsidRPr="00617370">
        <w:rPr>
          <w:spacing w:val="2"/>
        </w:rPr>
        <w:t xml:space="preserve">of </w:t>
      </w:r>
      <w:r w:rsidRPr="00617370">
        <w:rPr>
          <w:spacing w:val="2"/>
        </w:rPr>
        <w:t>tertiary education pathways</w:t>
      </w:r>
      <w:r w:rsidR="005F3FD0" w:rsidRPr="00617370">
        <w:rPr>
          <w:spacing w:val="2"/>
        </w:rPr>
        <w:t>,</w:t>
      </w:r>
      <w:r w:rsidRPr="00617370">
        <w:rPr>
          <w:spacing w:val="2"/>
        </w:rPr>
        <w:t xml:space="preserve"> alongside gender, socioeconomic status</w:t>
      </w:r>
      <w:r w:rsidR="00C42AA5" w:rsidRPr="00617370">
        <w:rPr>
          <w:spacing w:val="2"/>
        </w:rPr>
        <w:t xml:space="preserve"> (SES)</w:t>
      </w:r>
      <w:r w:rsidRPr="00617370">
        <w:rPr>
          <w:spacing w:val="2"/>
        </w:rPr>
        <w:t xml:space="preserve">, school sector and geographic location (Chesters 2019; Le &amp; Miller 2005; Lim 2015; McMillan &amp; Marks 2003). However, research suggests that the </w:t>
      </w:r>
      <w:r w:rsidR="003471A8" w:rsidRPr="00617370">
        <w:rPr>
          <w:spacing w:val="2"/>
        </w:rPr>
        <w:t xml:space="preserve">various </w:t>
      </w:r>
      <w:r w:rsidRPr="00617370">
        <w:rPr>
          <w:spacing w:val="2"/>
        </w:rPr>
        <w:t xml:space="preserve">factors influencing tertiary pathways are nuanced and </w:t>
      </w:r>
      <w:r w:rsidR="00611FE5" w:rsidRPr="00617370">
        <w:rPr>
          <w:spacing w:val="2"/>
        </w:rPr>
        <w:t xml:space="preserve">that </w:t>
      </w:r>
      <w:r w:rsidRPr="00617370">
        <w:rPr>
          <w:spacing w:val="2"/>
        </w:rPr>
        <w:t xml:space="preserve">the </w:t>
      </w:r>
      <w:r w:rsidR="00060A81" w:rsidRPr="00617370">
        <w:rPr>
          <w:spacing w:val="2"/>
        </w:rPr>
        <w:t>significance</w:t>
      </w:r>
      <w:r w:rsidRPr="00617370">
        <w:rPr>
          <w:spacing w:val="2"/>
        </w:rPr>
        <w:t xml:space="preserve"> of these factors </w:t>
      </w:r>
      <w:r w:rsidR="00060A81" w:rsidRPr="00617370">
        <w:rPr>
          <w:spacing w:val="2"/>
        </w:rPr>
        <w:t>is dependent upon</w:t>
      </w:r>
      <w:r w:rsidRPr="00617370">
        <w:rPr>
          <w:spacing w:val="2"/>
        </w:rPr>
        <w:t xml:space="preserve"> the definitions used and the interrelationship</w:t>
      </w:r>
      <w:r w:rsidR="003471A8" w:rsidRPr="00617370">
        <w:rPr>
          <w:spacing w:val="2"/>
        </w:rPr>
        <w:t>s</w:t>
      </w:r>
      <w:r w:rsidRPr="00617370">
        <w:rPr>
          <w:spacing w:val="2"/>
        </w:rPr>
        <w:t xml:space="preserve"> between them. Discrepancies may also arise due to variations in the measures employed, the populations or samples under investigation, or analytical methodologies. </w:t>
      </w:r>
    </w:p>
    <w:p w14:paraId="5BD2E1F9" w14:textId="69F8223B" w:rsidR="002B4BB2" w:rsidRPr="00617370" w:rsidRDefault="00BC5D90" w:rsidP="00674312">
      <w:pPr>
        <w:pStyle w:val="Text"/>
      </w:pPr>
      <w:r w:rsidRPr="00617370">
        <w:t xml:space="preserve">Data from the Longitudinal Surveys of Australian Youth (LSAY) present an opportunity to overcome some of these limitations by providing researchers with a nationally representative sample of Australian school students. </w:t>
      </w:r>
      <w:r w:rsidR="002B4BB2" w:rsidRPr="00617370">
        <w:t xml:space="preserve">This dataset includes measures that allow for a detailed investigation of the relationship between academic performance, a student’s demographic profile and their educational outcomes. Moreover, </w:t>
      </w:r>
      <w:r w:rsidR="00CE6EDB" w:rsidRPr="00617370">
        <w:t xml:space="preserve">linking </w:t>
      </w:r>
      <w:r w:rsidR="002B4BB2" w:rsidRPr="00617370">
        <w:t xml:space="preserve">LSAY data with the National Assessment Program </w:t>
      </w:r>
      <w:r w:rsidR="00F2652B" w:rsidRPr="00617370">
        <w:t>—</w:t>
      </w:r>
      <w:r w:rsidR="002B4BB2" w:rsidRPr="00617370">
        <w:t xml:space="preserve"> Literacy and Numeracy (NAPLAN) and the </w:t>
      </w:r>
      <w:r w:rsidR="002B4BB2" w:rsidRPr="00617370">
        <w:rPr>
          <w:i/>
          <w:iCs/>
        </w:rPr>
        <w:t>My School</w:t>
      </w:r>
      <w:r w:rsidR="002B4BB2" w:rsidRPr="00617370">
        <w:t xml:space="preserve"> data allows for a more</w:t>
      </w:r>
      <w:r w:rsidR="00013FAA" w:rsidRPr="00617370">
        <w:t xml:space="preserve"> refined</w:t>
      </w:r>
      <w:r w:rsidR="002B4BB2" w:rsidRPr="00617370">
        <w:t xml:space="preserve"> understanding of the association between a student’s earlier academic performance at school, the school attended, and their schooling and post-school outcomes. </w:t>
      </w:r>
    </w:p>
    <w:p w14:paraId="4433E87F" w14:textId="1716D1A3" w:rsidR="002B4BB2" w:rsidRPr="00617370" w:rsidRDefault="002B4BB2" w:rsidP="00674312">
      <w:pPr>
        <w:pStyle w:val="Text"/>
      </w:pPr>
      <w:r w:rsidRPr="00617370">
        <w:t>Using this integrated dataset, th</w:t>
      </w:r>
      <w:r w:rsidR="00192566" w:rsidRPr="00617370">
        <w:t>e</w:t>
      </w:r>
      <w:r w:rsidRPr="00617370">
        <w:t xml:space="preserve"> </w:t>
      </w:r>
      <w:r w:rsidR="00EB04A6" w:rsidRPr="00617370">
        <w:t>study</w:t>
      </w:r>
      <w:r w:rsidRPr="00617370">
        <w:t xml:space="preserve"> explore</w:t>
      </w:r>
      <w:r w:rsidR="00EB04A6" w:rsidRPr="00617370">
        <w:t>s</w:t>
      </w:r>
      <w:r w:rsidRPr="00617370">
        <w:t xml:space="preserve"> whether NAPLAN assessment data can predict a student’s likelihood of obtaining an Australian Tertiary </w:t>
      </w:r>
      <w:r w:rsidR="00614B4A" w:rsidRPr="00617370">
        <w:t xml:space="preserve">Admissions </w:t>
      </w:r>
      <w:r w:rsidRPr="00617370">
        <w:t>Rank (ATAR) upon completi</w:t>
      </w:r>
      <w:r w:rsidR="00F14269" w:rsidRPr="00617370">
        <w:t>on of</w:t>
      </w:r>
      <w:r w:rsidRPr="00617370">
        <w:t xml:space="preserve"> Year 12, </w:t>
      </w:r>
      <w:r w:rsidR="00306F86" w:rsidRPr="00617370">
        <w:t>as well as</w:t>
      </w:r>
      <w:r w:rsidR="00CA3B80" w:rsidRPr="00617370">
        <w:t xml:space="preserve"> the likelihood of </w:t>
      </w:r>
      <w:r w:rsidR="009105EC" w:rsidRPr="00617370">
        <w:t>a</w:t>
      </w:r>
      <w:r w:rsidR="007676C5" w:rsidRPr="00617370">
        <w:t xml:space="preserve"> student </w:t>
      </w:r>
      <w:r w:rsidRPr="00617370">
        <w:t xml:space="preserve">obtaining a </w:t>
      </w:r>
      <w:r w:rsidRPr="00617370">
        <w:rPr>
          <w:i/>
          <w:iCs/>
        </w:rPr>
        <w:t>high</w:t>
      </w:r>
      <w:r w:rsidRPr="00617370">
        <w:t xml:space="preserve"> ATAR (defined as an ATAR of 90 or above), while controlling for various demographic characteristics and the school attended. The analysis is performed using a mixed-effect model. The model consists of random and fixed</w:t>
      </w:r>
      <w:r w:rsidR="00306F86" w:rsidRPr="00617370">
        <w:t>-</w:t>
      </w:r>
      <w:r w:rsidRPr="00617370">
        <w:t xml:space="preserve">effect components: the random effect accounts for the variability between schools, while fixed effects account for the variability between individuals’ demographic characteristics and NAPLAN achievement scores. The model also includes the interaction between socioeconomic status and NAPLAN achievement to </w:t>
      </w:r>
      <w:r w:rsidR="005A04D3" w:rsidRPr="00617370">
        <w:t>enable an investigation of</w:t>
      </w:r>
      <w:r w:rsidRPr="00617370">
        <w:t xml:space="preserve"> the combined effect these two variables have on ATAR outcomes.</w:t>
      </w:r>
    </w:p>
    <w:p w14:paraId="166B1E37" w14:textId="77777777" w:rsidR="002B4BB2" w:rsidRPr="00617370" w:rsidRDefault="002B4BB2" w:rsidP="00674312">
      <w:pPr>
        <w:pStyle w:val="Heading2"/>
      </w:pPr>
      <w:r w:rsidRPr="00617370">
        <w:t>Findings</w:t>
      </w:r>
    </w:p>
    <w:p w14:paraId="0ED44E8B" w14:textId="7839C11E" w:rsidR="00CC4CD9" w:rsidRPr="00617370" w:rsidRDefault="00CC4CD9" w:rsidP="00674312">
      <w:pPr>
        <w:pStyle w:val="Text"/>
      </w:pPr>
      <w:r w:rsidRPr="00617370">
        <w:t xml:space="preserve">Socioeconomic status in isolation did not have a significant effect on the likelihood of a student receiving an ATAR. However, a student’s socioeconomic status, in combination with their NAPLAN scores, was the strongest predictor of ATAR achievement when controlling for other factors. For individuals with a high socioeconomic status, the likelihood of receiving an ATAR </w:t>
      </w:r>
      <w:r w:rsidR="00A903D3" w:rsidRPr="00617370">
        <w:t xml:space="preserve">increases by about 1.35 times </w:t>
      </w:r>
      <w:r w:rsidRPr="00617370">
        <w:t>with an increase of their NAPLAN scores by comparison with students with a low socioeconomic status and a similar increase in NAPLAN score.</w:t>
      </w:r>
    </w:p>
    <w:p w14:paraId="2672E1CC" w14:textId="43D19CC5" w:rsidR="002B4BB2" w:rsidRPr="00617370" w:rsidRDefault="002B4BB2" w:rsidP="00674312">
      <w:pPr>
        <w:pStyle w:val="Text"/>
      </w:pPr>
      <w:r w:rsidRPr="00617370">
        <w:t>Other important characteristics associated with an increased likelihood of receiving an ATAR included having a non-English speaking background, being female and being non-Indigenous.</w:t>
      </w:r>
    </w:p>
    <w:p w14:paraId="735983A5" w14:textId="77777777" w:rsidR="00F16B88" w:rsidRPr="00617370" w:rsidRDefault="00F16B88">
      <w:pPr>
        <w:spacing w:before="0" w:line="240" w:lineRule="auto"/>
      </w:pPr>
      <w:r w:rsidRPr="00617370">
        <w:br w:type="page"/>
      </w:r>
    </w:p>
    <w:p w14:paraId="4A512DA6" w14:textId="75A91A0E" w:rsidR="002B4BB2" w:rsidRPr="00617370" w:rsidRDefault="002B4BB2" w:rsidP="00674312">
      <w:pPr>
        <w:pStyle w:val="Text"/>
      </w:pPr>
      <w:r w:rsidRPr="00617370">
        <w:lastRenderedPageBreak/>
        <w:t xml:space="preserve">When we explore the factors associated with </w:t>
      </w:r>
      <w:r w:rsidR="00E104FD" w:rsidRPr="00617370">
        <w:t xml:space="preserve">obtaining a </w:t>
      </w:r>
      <w:r w:rsidRPr="00617370">
        <w:rPr>
          <w:i/>
        </w:rPr>
        <w:t>high</w:t>
      </w:r>
      <w:r w:rsidRPr="00617370">
        <w:t xml:space="preserve"> </w:t>
      </w:r>
      <w:r w:rsidR="00E104FD" w:rsidRPr="00617370">
        <w:t xml:space="preserve">ATAR </w:t>
      </w:r>
      <w:r w:rsidR="00AE0483" w:rsidRPr="00617370">
        <w:t>score</w:t>
      </w:r>
      <w:r w:rsidRPr="00617370">
        <w:t xml:space="preserve">, the results are quite different. Just two characteristics are found to </w:t>
      </w:r>
      <w:r w:rsidR="00E104FD" w:rsidRPr="00617370">
        <w:t xml:space="preserve">be important: prior </w:t>
      </w:r>
      <w:r w:rsidRPr="00617370">
        <w:t xml:space="preserve">academic achievement and being female. Students with higher </w:t>
      </w:r>
      <w:r w:rsidR="00AE0483" w:rsidRPr="00617370">
        <w:t xml:space="preserve">NAPLAN scores </w:t>
      </w:r>
      <w:r w:rsidRPr="00617370">
        <w:t xml:space="preserve">are almost twice as likely to achieve ATAR scores of 90 or above, controlling for their socioeconomic or language background, gender and indigeneity.  </w:t>
      </w:r>
    </w:p>
    <w:p w14:paraId="275114DE" w14:textId="0B8C6ECD" w:rsidR="002B4BB2" w:rsidRPr="00617370" w:rsidRDefault="002B4BB2" w:rsidP="00674312">
      <w:pPr>
        <w:pStyle w:val="Text"/>
      </w:pPr>
      <w:r w:rsidRPr="00617370">
        <w:t xml:space="preserve">Our analysis also </w:t>
      </w:r>
      <w:r w:rsidR="00BB4001" w:rsidRPr="00617370">
        <w:t>indicated</w:t>
      </w:r>
      <w:r w:rsidRPr="00617370">
        <w:t xml:space="preserve"> that</w:t>
      </w:r>
      <w:r w:rsidR="00BB4001" w:rsidRPr="00617370">
        <w:t>,</w:t>
      </w:r>
      <w:r w:rsidRPr="00617370">
        <w:t xml:space="preserve"> while schools play a role in influencing tertiary entrance performance, </w:t>
      </w:r>
      <w:r w:rsidR="004869C2" w:rsidRPr="00617370">
        <w:t xml:space="preserve">this impact is relatively small </w:t>
      </w:r>
      <w:r w:rsidRPr="00617370">
        <w:t xml:space="preserve">compared with </w:t>
      </w:r>
      <w:r w:rsidR="00FE3074" w:rsidRPr="00617370">
        <w:t xml:space="preserve">the role that </w:t>
      </w:r>
      <w:r w:rsidR="00160FB2" w:rsidRPr="00617370">
        <w:t xml:space="preserve">a student’s </w:t>
      </w:r>
      <w:r w:rsidRPr="00617370">
        <w:t xml:space="preserve">individual characteristics </w:t>
      </w:r>
      <w:r w:rsidR="00FE3074" w:rsidRPr="00617370">
        <w:t>play</w:t>
      </w:r>
      <w:r w:rsidRPr="00617370">
        <w:t>. Most of the variation in a student’s tertiary entrance score can be attributed to their demographic profile or academic ability rather than the school they attend.</w:t>
      </w:r>
    </w:p>
    <w:p w14:paraId="6C9A6123" w14:textId="77777777" w:rsidR="002B4BB2" w:rsidRPr="00617370" w:rsidRDefault="002B4BB2" w:rsidP="00674312">
      <w:pPr>
        <w:pStyle w:val="Heading2"/>
      </w:pPr>
      <w:r w:rsidRPr="00617370">
        <w:t>Concluding remarks</w:t>
      </w:r>
    </w:p>
    <w:p w14:paraId="798D6968" w14:textId="38EAD3DC" w:rsidR="002B4BB2" w:rsidRPr="00617370" w:rsidRDefault="002B4BB2" w:rsidP="00674312">
      <w:pPr>
        <w:pStyle w:val="Text"/>
      </w:pPr>
      <w:r w:rsidRPr="00617370">
        <w:t>This study reinforces the importan</w:t>
      </w:r>
      <w:r w:rsidR="001203B1" w:rsidRPr="00617370">
        <w:t>t</w:t>
      </w:r>
      <w:r w:rsidR="005D005D" w:rsidRPr="00617370">
        <w:t xml:space="preserve"> </w:t>
      </w:r>
      <w:r w:rsidR="002D00D6" w:rsidRPr="00617370">
        <w:t>place</w:t>
      </w:r>
      <w:r w:rsidRPr="00617370">
        <w:t xml:space="preserve"> of academic achievement in </w:t>
      </w:r>
      <w:r w:rsidR="0077409F" w:rsidRPr="00617370">
        <w:t xml:space="preserve">every child’s </w:t>
      </w:r>
      <w:r w:rsidR="009F723A" w:rsidRPr="00617370">
        <w:t>success</w:t>
      </w:r>
      <w:r w:rsidRPr="00617370">
        <w:t xml:space="preserve">. </w:t>
      </w:r>
      <w:r w:rsidR="00F11856" w:rsidRPr="00617370">
        <w:t>Although</w:t>
      </w:r>
      <w:r w:rsidRPr="00617370">
        <w:t xml:space="preserve"> our analysis </w:t>
      </w:r>
      <w:r w:rsidR="00E67F78" w:rsidRPr="00617370">
        <w:t>indicates that</w:t>
      </w:r>
      <w:r w:rsidRPr="00617370">
        <w:t xml:space="preserve"> socioeconomic status does not play a determining role in the </w:t>
      </w:r>
      <w:r w:rsidR="00EF2209" w:rsidRPr="00617370">
        <w:t>attainment of an</w:t>
      </w:r>
      <w:r w:rsidRPr="00617370">
        <w:t xml:space="preserve"> ATAR, the </w:t>
      </w:r>
      <w:r w:rsidR="00F25CE9" w:rsidRPr="00617370">
        <w:t xml:space="preserve">combined </w:t>
      </w:r>
      <w:r w:rsidRPr="00617370">
        <w:t xml:space="preserve">effect of socioeconomic status and academic ability does influence student options for transitioning to university. Our study </w:t>
      </w:r>
      <w:r w:rsidR="004A5F27" w:rsidRPr="00617370">
        <w:t>demonstrated</w:t>
      </w:r>
      <w:r w:rsidRPr="00617370">
        <w:t xml:space="preserve"> the compounding advantage</w:t>
      </w:r>
      <w:r w:rsidR="00053453" w:rsidRPr="00617370">
        <w:t xml:space="preserve"> gained from having both</w:t>
      </w:r>
      <w:r w:rsidR="009B4181" w:rsidRPr="00617370">
        <w:t xml:space="preserve"> </w:t>
      </w:r>
      <w:r w:rsidRPr="00617370">
        <w:t xml:space="preserve">a high socioeconomic status </w:t>
      </w:r>
      <w:r w:rsidR="00321575" w:rsidRPr="00617370">
        <w:t>in conju</w:t>
      </w:r>
      <w:r w:rsidR="009D2789" w:rsidRPr="00617370">
        <w:t>n</w:t>
      </w:r>
      <w:r w:rsidR="00321575" w:rsidRPr="00617370">
        <w:t>ction</w:t>
      </w:r>
      <w:r w:rsidRPr="00617370">
        <w:t xml:space="preserve"> with a strong academic foundati</w:t>
      </w:r>
      <w:r w:rsidR="009B4181" w:rsidRPr="00617370">
        <w:t>o</w:t>
      </w:r>
      <w:r w:rsidR="00405D39" w:rsidRPr="00617370">
        <w:t>n</w:t>
      </w:r>
      <w:r w:rsidR="00053453" w:rsidRPr="00617370">
        <w:t xml:space="preserve"> when accessing higher education</w:t>
      </w:r>
      <w:r w:rsidR="00405D39" w:rsidRPr="00617370">
        <w:t>, underscoring</w:t>
      </w:r>
      <w:r w:rsidRPr="00617370">
        <w:t xml:space="preserve"> the importance of supporting those who are academically weak. </w:t>
      </w:r>
    </w:p>
    <w:p w14:paraId="4111B7FD" w14:textId="6FA561C1" w:rsidR="002B4BB2" w:rsidRPr="00617370" w:rsidRDefault="002B4BB2" w:rsidP="00674312">
      <w:pPr>
        <w:pStyle w:val="Text"/>
      </w:pPr>
      <w:r w:rsidRPr="00617370">
        <w:t>When it comes to preparing students for tertiary education, the role of the school is limited</w:t>
      </w:r>
      <w:r w:rsidR="009D2789" w:rsidRPr="00617370">
        <w:t xml:space="preserve"> but</w:t>
      </w:r>
      <w:r w:rsidRPr="00617370">
        <w:t xml:space="preserve"> it is not unimportant. Schools must ensure </w:t>
      </w:r>
      <w:r w:rsidR="00FD1E4E" w:rsidRPr="00617370">
        <w:t xml:space="preserve">that </w:t>
      </w:r>
      <w:r w:rsidRPr="00617370">
        <w:t xml:space="preserve">support and opportunities </w:t>
      </w:r>
      <w:r w:rsidR="00FD1E4E" w:rsidRPr="00617370">
        <w:t xml:space="preserve">are provided </w:t>
      </w:r>
      <w:r w:rsidRPr="00617370">
        <w:t>for all students</w:t>
      </w:r>
      <w:r w:rsidR="00395664" w:rsidRPr="00617370">
        <w:t>,</w:t>
      </w:r>
      <w:r w:rsidRPr="00617370">
        <w:t xml:space="preserve"> </w:t>
      </w:r>
      <w:r w:rsidR="00395664" w:rsidRPr="00617370">
        <w:t>such that</w:t>
      </w:r>
      <w:r w:rsidR="008B7872" w:rsidRPr="00617370">
        <w:t xml:space="preserve"> </w:t>
      </w:r>
      <w:r w:rsidRPr="00617370">
        <w:t>the potential of all young Australians</w:t>
      </w:r>
      <w:r w:rsidR="00395664" w:rsidRPr="00617370">
        <w:t xml:space="preserve"> is maximised</w:t>
      </w:r>
      <w:r w:rsidRPr="00617370">
        <w:t xml:space="preserve">, with a particular focus on male students and those who fall behind. The unique educational and occupational aspirations of each student must also be </w:t>
      </w:r>
      <w:r w:rsidR="008B7872" w:rsidRPr="00617370">
        <w:t>recognised</w:t>
      </w:r>
      <w:r w:rsidRPr="00617370">
        <w:t xml:space="preserve">, with schools </w:t>
      </w:r>
      <w:r w:rsidR="00E70D50" w:rsidRPr="00617370">
        <w:t>encouraged</w:t>
      </w:r>
      <w:r w:rsidRPr="00617370">
        <w:t xml:space="preserve"> to identify optimal pathways for each individual. </w:t>
      </w:r>
    </w:p>
    <w:p w14:paraId="5FCC2C77" w14:textId="047EB56D" w:rsidR="002B4BB2" w:rsidRPr="00617370" w:rsidRDefault="002B4BB2" w:rsidP="00674312">
      <w:pPr>
        <w:pStyle w:val="Text"/>
      </w:pPr>
      <w:r w:rsidRPr="00617370">
        <w:t xml:space="preserve">For </w:t>
      </w:r>
      <w:r w:rsidR="00E70D50" w:rsidRPr="00617370">
        <w:t xml:space="preserve">those </w:t>
      </w:r>
      <w:r w:rsidRPr="00617370">
        <w:t xml:space="preserve">students aspiring to higher education, our study demonstrated that prior academic achievement is the single most important factor in </w:t>
      </w:r>
      <w:r w:rsidR="00E70D50" w:rsidRPr="00617370">
        <w:t>assisting</w:t>
      </w:r>
      <w:r w:rsidRPr="00617370">
        <w:t xml:space="preserve"> students </w:t>
      </w:r>
      <w:r w:rsidR="009C4226" w:rsidRPr="00617370">
        <w:t xml:space="preserve">to </w:t>
      </w:r>
      <w:r w:rsidRPr="00617370">
        <w:t>achieve that trajectory</w:t>
      </w:r>
      <w:r w:rsidR="003C04B1" w:rsidRPr="00617370">
        <w:t xml:space="preserve">, </w:t>
      </w:r>
      <w:r w:rsidR="00F5355F" w:rsidRPr="00617370">
        <w:t>meaning that</w:t>
      </w:r>
      <w:r w:rsidR="003C04B1" w:rsidRPr="00617370">
        <w:t xml:space="preserve"> </w:t>
      </w:r>
      <w:r w:rsidR="00BA57CE" w:rsidRPr="00617370">
        <w:t>students</w:t>
      </w:r>
      <w:r w:rsidRPr="00617370">
        <w:t xml:space="preserve"> should not be impeded or discouraged by their individual background</w:t>
      </w:r>
      <w:r w:rsidR="00613974" w:rsidRPr="00617370">
        <w:t>s</w:t>
      </w:r>
      <w:r w:rsidRPr="00617370">
        <w:t xml:space="preserve">. </w:t>
      </w:r>
      <w:r w:rsidR="00876FAE" w:rsidRPr="00617370">
        <w:t>P</w:t>
      </w:r>
      <w:r w:rsidRPr="00617370">
        <w:t xml:space="preserve">roviding </w:t>
      </w:r>
      <w:r w:rsidR="00876FAE" w:rsidRPr="00617370">
        <w:t xml:space="preserve">students with </w:t>
      </w:r>
      <w:r w:rsidRPr="00617370">
        <w:t xml:space="preserve">the support they </w:t>
      </w:r>
      <w:r w:rsidR="00D918DA" w:rsidRPr="00617370">
        <w:t>require</w:t>
      </w:r>
      <w:r w:rsidRPr="00617370">
        <w:t xml:space="preserve"> to perform well at school gives </w:t>
      </w:r>
      <w:r w:rsidR="00A019EF" w:rsidRPr="00617370">
        <w:t>them</w:t>
      </w:r>
      <w:r w:rsidRPr="00617370">
        <w:t xml:space="preserve"> the best chance of transitioning to higher education, </w:t>
      </w:r>
      <w:r w:rsidR="00A019EF" w:rsidRPr="00617370">
        <w:t>irrespective</w:t>
      </w:r>
      <w:r w:rsidRPr="00617370">
        <w:t xml:space="preserve"> of their background. </w:t>
      </w:r>
      <w:r w:rsidR="005C24FD" w:rsidRPr="00617370">
        <w:t>A</w:t>
      </w:r>
      <w:r w:rsidRPr="00617370">
        <w:t xml:space="preserve"> student’s post-school aspiration</w:t>
      </w:r>
      <w:r w:rsidR="00613974" w:rsidRPr="00617370">
        <w:t>s</w:t>
      </w:r>
      <w:r w:rsidRPr="00617370">
        <w:t xml:space="preserve"> may change over time, </w:t>
      </w:r>
      <w:r w:rsidR="00E63131" w:rsidRPr="00617370">
        <w:t>but gaining</w:t>
      </w:r>
      <w:r w:rsidRPr="00617370">
        <w:t xml:space="preserve"> a solid academic foundation in school is key to </w:t>
      </w:r>
      <w:r w:rsidR="002015D8" w:rsidRPr="00617370">
        <w:t>arming</w:t>
      </w:r>
      <w:r w:rsidRPr="00617370">
        <w:t xml:space="preserve"> students with a variety of post-school options.</w:t>
      </w:r>
    </w:p>
    <w:p w14:paraId="0C7D186B" w14:textId="49E7EB25" w:rsidR="00ED0C08" w:rsidRPr="00617370" w:rsidRDefault="004C5530" w:rsidP="00674312">
      <w:pPr>
        <w:pStyle w:val="Text"/>
      </w:pPr>
      <w:r w:rsidRPr="00617370">
        <w:t>The use of</w:t>
      </w:r>
      <w:r w:rsidR="002B4BB2" w:rsidRPr="00617370">
        <w:t xml:space="preserve"> a nationally representative longitudinal dataset linked to national assessment and school administrative data</w:t>
      </w:r>
      <w:r w:rsidR="007023E2" w:rsidRPr="00617370">
        <w:t xml:space="preserve"> enabled</w:t>
      </w:r>
      <w:r w:rsidR="002B4BB2" w:rsidRPr="00617370">
        <w:t xml:space="preserve"> this study </w:t>
      </w:r>
      <w:r w:rsidR="007023E2" w:rsidRPr="00617370">
        <w:t xml:space="preserve">to </w:t>
      </w:r>
      <w:r w:rsidR="00143F43" w:rsidRPr="00617370">
        <w:t>provide</w:t>
      </w:r>
      <w:r w:rsidR="002B4BB2" w:rsidRPr="00617370">
        <w:t xml:space="preserve"> further insights into the student trajectory</w:t>
      </w:r>
      <w:r w:rsidR="004F449F" w:rsidRPr="00617370">
        <w:t xml:space="preserve">, as well as </w:t>
      </w:r>
      <w:r w:rsidR="002B4BB2" w:rsidRPr="00617370">
        <w:t xml:space="preserve">a more nuanced understanding of the factors that contribute to university entrance performance. </w:t>
      </w:r>
      <w:r w:rsidR="00B21D7C" w:rsidRPr="00617370">
        <w:t>This approach</w:t>
      </w:r>
      <w:r w:rsidR="002B4BB2" w:rsidRPr="00617370">
        <w:t xml:space="preserve"> also points to some of the research opportunities now possible through linkage, such as </w:t>
      </w:r>
      <w:r w:rsidR="00F801CE" w:rsidRPr="00617370">
        <w:t>recognising</w:t>
      </w:r>
      <w:r w:rsidR="002B4BB2" w:rsidRPr="00617370">
        <w:t xml:space="preserve"> the relationship between academic ability at several time points and </w:t>
      </w:r>
      <w:r w:rsidR="00B21D7C" w:rsidRPr="00617370">
        <w:t>subsequent</w:t>
      </w:r>
      <w:r w:rsidR="002B4BB2" w:rsidRPr="00617370">
        <w:t xml:space="preserve"> educational and employment outcomes. In addition, linked administrative school data </w:t>
      </w:r>
      <w:r w:rsidR="009C3B9F" w:rsidRPr="00617370">
        <w:t>offer</w:t>
      </w:r>
      <w:r w:rsidR="002B4BB2" w:rsidRPr="00617370">
        <w:t xml:space="preserve"> valuable contextual information about the schools </w:t>
      </w:r>
      <w:r w:rsidR="00B21D7C" w:rsidRPr="00617370">
        <w:t>attended by</w:t>
      </w:r>
      <w:r w:rsidR="002B4BB2" w:rsidRPr="00617370">
        <w:t xml:space="preserve"> students, allowing for a better </w:t>
      </w:r>
      <w:r w:rsidR="00DC4060" w:rsidRPr="00617370">
        <w:t>appreciation</w:t>
      </w:r>
      <w:r w:rsidR="002B4BB2" w:rsidRPr="00617370">
        <w:t xml:space="preserve"> of the influence </w:t>
      </w:r>
      <w:r w:rsidR="000D45BE" w:rsidRPr="00617370">
        <w:t xml:space="preserve">that </w:t>
      </w:r>
      <w:r w:rsidR="002B4BB2" w:rsidRPr="00617370">
        <w:t>schools have on students at different stages of their schooling.</w:t>
      </w:r>
    </w:p>
    <w:p w14:paraId="361E6B5B" w14:textId="77777777" w:rsidR="00324917" w:rsidRPr="00617370" w:rsidRDefault="00324917" w:rsidP="009A5E17">
      <w:pPr>
        <w:pStyle w:val="Text"/>
        <w:spacing w:before="120" w:line="290" w:lineRule="exact"/>
      </w:pPr>
    </w:p>
    <w:p w14:paraId="48095B86" w14:textId="6B551407" w:rsidR="00324917" w:rsidRPr="00617370" w:rsidRDefault="00324917" w:rsidP="00324917">
      <w:pPr>
        <w:rPr>
          <w:b/>
        </w:rPr>
      </w:pPr>
      <w:r w:rsidRPr="00617370">
        <w:rPr>
          <w:b/>
        </w:rPr>
        <w:br w:type="page"/>
      </w:r>
    </w:p>
    <w:p w14:paraId="1BD79DCB" w14:textId="2D8649DD" w:rsidR="00057CAF" w:rsidRPr="00617370" w:rsidRDefault="00D423D5" w:rsidP="00057CAF">
      <w:pPr>
        <w:pStyle w:val="Heading1"/>
      </w:pPr>
      <w:bookmarkStart w:id="34" w:name="_Toc166511935"/>
      <w:bookmarkStart w:id="35" w:name="_Toc316371585"/>
      <w:r w:rsidRPr="00617370">
        <w:rPr>
          <w:noProof/>
        </w:rPr>
        <w:lastRenderedPageBreak/>
        <w:drawing>
          <wp:anchor distT="0" distB="0" distL="114300" distR="144145" simplePos="0" relativeHeight="251663372" behindDoc="0" locked="0" layoutInCell="1" allowOverlap="1" wp14:anchorId="366E6624" wp14:editId="4E108B6B">
            <wp:simplePos x="0" y="0"/>
            <wp:positionH relativeFrom="column">
              <wp:posOffset>-635</wp:posOffset>
            </wp:positionH>
            <wp:positionV relativeFrom="paragraph">
              <wp:posOffset>0</wp:posOffset>
            </wp:positionV>
            <wp:extent cx="417600" cy="417600"/>
            <wp:effectExtent l="0" t="0" r="1905" b="1905"/>
            <wp:wrapSquare wrapText="bothSides"/>
            <wp:docPr id="441405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CAF" w:rsidRPr="00617370">
        <w:t>Introduction</w:t>
      </w:r>
      <w:bookmarkEnd w:id="34"/>
    </w:p>
    <w:p w14:paraId="18E2CEC8" w14:textId="5C0DF6DF" w:rsidR="007E4117" w:rsidRPr="00617370" w:rsidRDefault="007E4117" w:rsidP="007E4117">
      <w:pPr>
        <w:pStyle w:val="Text"/>
      </w:pPr>
      <w:r w:rsidRPr="00617370">
        <w:t xml:space="preserve">The benefits </w:t>
      </w:r>
      <w:r w:rsidR="006445AF" w:rsidRPr="00617370">
        <w:t>accruing to students</w:t>
      </w:r>
      <w:r w:rsidR="00713DDD" w:rsidRPr="00617370">
        <w:t xml:space="preserve"> who perform at high levels</w:t>
      </w:r>
      <w:r w:rsidRPr="00617370">
        <w:t xml:space="preserve"> during primary and secondary schooling are well established. Students with higher levels of academic achievement are more likely to complete </w:t>
      </w:r>
      <w:r w:rsidR="004D3CCC" w:rsidRPr="00617370">
        <w:t>Y</w:t>
      </w:r>
      <w:r w:rsidRPr="00617370">
        <w:t>ear 12 (Lamb 1997</w:t>
      </w:r>
      <w:r w:rsidR="004E5687" w:rsidRPr="00617370">
        <w:t>;</w:t>
      </w:r>
      <w:r w:rsidRPr="00617370">
        <w:t xml:space="preserve"> Le &amp; Miller 2002</w:t>
      </w:r>
      <w:r w:rsidR="004E5687" w:rsidRPr="00617370">
        <w:t>;</w:t>
      </w:r>
      <w:r w:rsidRPr="00617370">
        <w:t xml:space="preserve"> McMillan &amp; Marks 2003)</w:t>
      </w:r>
      <w:r w:rsidR="00902106" w:rsidRPr="00617370">
        <w:t>,</w:t>
      </w:r>
      <w:r w:rsidRPr="00617370">
        <w:t xml:space="preserve"> while young people who complete </w:t>
      </w:r>
      <w:r w:rsidR="004D3CCC" w:rsidRPr="00617370">
        <w:t>Y</w:t>
      </w:r>
      <w:r w:rsidRPr="00617370">
        <w:t>ear 12 tend to have more successful transitions from education to work (Karmel &amp; Liu 2011</w:t>
      </w:r>
      <w:r w:rsidR="00764E23" w:rsidRPr="00617370">
        <w:t>; Ryan 2011</w:t>
      </w:r>
      <w:r w:rsidRPr="00617370">
        <w:t xml:space="preserve">). Higher levels of education </w:t>
      </w:r>
      <w:r w:rsidR="0093239E" w:rsidRPr="00617370">
        <w:t xml:space="preserve">are </w:t>
      </w:r>
      <w:r w:rsidRPr="00617370">
        <w:t xml:space="preserve">also </w:t>
      </w:r>
      <w:r w:rsidR="0093239E" w:rsidRPr="00617370">
        <w:t>associated with</w:t>
      </w:r>
      <w:r w:rsidRPr="00617370">
        <w:t xml:space="preserve"> several benefits </w:t>
      </w:r>
      <w:r w:rsidR="0093239E" w:rsidRPr="00617370">
        <w:t>for</w:t>
      </w:r>
      <w:r w:rsidRPr="00617370">
        <w:t xml:space="preserve"> individual</w:t>
      </w:r>
      <w:r w:rsidR="0093239E" w:rsidRPr="00617370">
        <w:t>s,</w:t>
      </w:r>
      <w:r w:rsidRPr="00617370">
        <w:t xml:space="preserve"> including greater choice in employment pathways, increased job security and higher wages, leading to a more prosperous economy (</w:t>
      </w:r>
      <w:r w:rsidR="004E5687" w:rsidRPr="00617370">
        <w:t>Chesters &amp; Cuervo 2022;</w:t>
      </w:r>
      <w:r w:rsidRPr="00617370">
        <w:t xml:space="preserve"> Lee 2010</w:t>
      </w:r>
      <w:r w:rsidR="004E5687" w:rsidRPr="00617370">
        <w:t xml:space="preserve">; </w:t>
      </w:r>
      <w:r w:rsidRPr="00617370">
        <w:t>Ryan 2011</w:t>
      </w:r>
      <w:r w:rsidR="004E5687" w:rsidRPr="00617370">
        <w:t>;</w:t>
      </w:r>
      <w:r w:rsidRPr="00617370">
        <w:t xml:space="preserve"> P</w:t>
      </w:r>
      <w:r w:rsidR="0066562F" w:rsidRPr="00617370">
        <w:t xml:space="preserve">roductivity Commission </w:t>
      </w:r>
      <w:r w:rsidRPr="00617370">
        <w:t xml:space="preserve">2019). </w:t>
      </w:r>
    </w:p>
    <w:p w14:paraId="5023977C" w14:textId="5284868B" w:rsidR="007E4117" w:rsidRPr="00617370" w:rsidRDefault="007E4117" w:rsidP="007E4117">
      <w:pPr>
        <w:pStyle w:val="Text"/>
        <w:rPr>
          <w:spacing w:val="-2"/>
        </w:rPr>
      </w:pPr>
      <w:r w:rsidRPr="00617370">
        <w:rPr>
          <w:spacing w:val="-2"/>
        </w:rPr>
        <w:t xml:space="preserve">However, disentangling the effects of </w:t>
      </w:r>
      <w:r w:rsidR="00FB0AC3" w:rsidRPr="00617370">
        <w:rPr>
          <w:spacing w:val="-2"/>
        </w:rPr>
        <w:t xml:space="preserve">prior </w:t>
      </w:r>
      <w:r w:rsidRPr="00617370">
        <w:rPr>
          <w:spacing w:val="-2"/>
        </w:rPr>
        <w:t xml:space="preserve">academic achievement on later performance from </w:t>
      </w:r>
      <w:r w:rsidR="00E104FD" w:rsidRPr="00617370">
        <w:rPr>
          <w:spacing w:val="-2"/>
        </w:rPr>
        <w:t>other confounding factors</w:t>
      </w:r>
      <w:r w:rsidRPr="00617370">
        <w:rPr>
          <w:spacing w:val="-2"/>
        </w:rPr>
        <w:t xml:space="preserve">, such as socioeconomic status, </w:t>
      </w:r>
      <w:r w:rsidR="00E104FD" w:rsidRPr="00617370">
        <w:rPr>
          <w:spacing w:val="-2"/>
        </w:rPr>
        <w:t xml:space="preserve">can be difficult. </w:t>
      </w:r>
      <w:r w:rsidRPr="00617370">
        <w:rPr>
          <w:spacing w:val="-2"/>
        </w:rPr>
        <w:t xml:space="preserve">In Australia, </w:t>
      </w:r>
      <w:r w:rsidR="00381395" w:rsidRPr="00617370">
        <w:rPr>
          <w:spacing w:val="-2"/>
        </w:rPr>
        <w:t xml:space="preserve">there is a lack of </w:t>
      </w:r>
      <w:r w:rsidRPr="00617370">
        <w:rPr>
          <w:spacing w:val="-2"/>
        </w:rPr>
        <w:t>assessment data</w:t>
      </w:r>
      <w:r w:rsidR="00381395" w:rsidRPr="00617370">
        <w:rPr>
          <w:spacing w:val="-2"/>
        </w:rPr>
        <w:t xml:space="preserve"> that has been</w:t>
      </w:r>
      <w:r w:rsidRPr="00617370">
        <w:rPr>
          <w:spacing w:val="-2"/>
        </w:rPr>
        <w:t xml:space="preserve"> combined with survey data</w:t>
      </w:r>
      <w:r w:rsidR="00381395" w:rsidRPr="00617370">
        <w:rPr>
          <w:spacing w:val="-2"/>
        </w:rPr>
        <w:t>, which</w:t>
      </w:r>
      <w:r w:rsidRPr="00617370">
        <w:rPr>
          <w:spacing w:val="-2"/>
        </w:rPr>
        <w:t xml:space="preserve"> limit</w:t>
      </w:r>
      <w:r w:rsidR="0136EC94" w:rsidRPr="00617370">
        <w:rPr>
          <w:spacing w:val="-2"/>
        </w:rPr>
        <w:t>s</w:t>
      </w:r>
      <w:r w:rsidR="524D8B86" w:rsidRPr="00617370">
        <w:rPr>
          <w:spacing w:val="-2"/>
        </w:rPr>
        <w:t xml:space="preserve"> the extent to which</w:t>
      </w:r>
      <w:r w:rsidRPr="00617370">
        <w:rPr>
          <w:spacing w:val="-2"/>
        </w:rPr>
        <w:t xml:space="preserve"> research </w:t>
      </w:r>
      <w:r w:rsidR="700CC191" w:rsidRPr="00617370">
        <w:rPr>
          <w:spacing w:val="-2"/>
        </w:rPr>
        <w:t>can</w:t>
      </w:r>
      <w:r w:rsidRPr="00617370">
        <w:rPr>
          <w:spacing w:val="-2"/>
        </w:rPr>
        <w:t xml:space="preserve"> consider </w:t>
      </w:r>
      <w:r w:rsidR="00F80309" w:rsidRPr="00617370">
        <w:rPr>
          <w:spacing w:val="-2"/>
        </w:rPr>
        <w:t xml:space="preserve">the </w:t>
      </w:r>
      <w:r w:rsidRPr="00617370">
        <w:rPr>
          <w:spacing w:val="-2"/>
        </w:rPr>
        <w:t>contextual factors that affect a student</w:t>
      </w:r>
      <w:r w:rsidR="00F80309" w:rsidRPr="00617370">
        <w:rPr>
          <w:spacing w:val="-2"/>
        </w:rPr>
        <w:t>’</w:t>
      </w:r>
      <w:r w:rsidRPr="00617370">
        <w:rPr>
          <w:spacing w:val="-2"/>
        </w:rPr>
        <w:t>s academic trajectory (</w:t>
      </w:r>
      <w:r w:rsidR="00FE33A6" w:rsidRPr="00617370">
        <w:rPr>
          <w:spacing w:val="-2"/>
        </w:rPr>
        <w:t xml:space="preserve">Carr et al. </w:t>
      </w:r>
      <w:r w:rsidRPr="00617370">
        <w:rPr>
          <w:spacing w:val="-2"/>
        </w:rPr>
        <w:t>2023</w:t>
      </w:r>
      <w:r w:rsidR="00EE29BD" w:rsidRPr="00617370">
        <w:rPr>
          <w:spacing w:val="-2"/>
        </w:rPr>
        <w:t xml:space="preserve">; </w:t>
      </w:r>
      <w:r w:rsidRPr="00617370">
        <w:rPr>
          <w:spacing w:val="-2"/>
        </w:rPr>
        <w:t xml:space="preserve">Marks 2019). In addition, without comprehensive data on </w:t>
      </w:r>
      <w:r w:rsidR="00D717E6" w:rsidRPr="00617370">
        <w:rPr>
          <w:spacing w:val="-2"/>
        </w:rPr>
        <w:t xml:space="preserve">a student’s </w:t>
      </w:r>
      <w:r w:rsidRPr="00617370">
        <w:rPr>
          <w:spacing w:val="-2"/>
        </w:rPr>
        <w:t xml:space="preserve">academic </w:t>
      </w:r>
      <w:r w:rsidR="00D717E6" w:rsidRPr="00617370">
        <w:rPr>
          <w:spacing w:val="-2"/>
        </w:rPr>
        <w:t xml:space="preserve">ability and </w:t>
      </w:r>
      <w:r w:rsidRPr="00617370">
        <w:rPr>
          <w:spacing w:val="-2"/>
        </w:rPr>
        <w:t xml:space="preserve">their background characteristics, </w:t>
      </w:r>
      <w:r w:rsidR="00D717E6" w:rsidRPr="00617370">
        <w:rPr>
          <w:spacing w:val="-2"/>
        </w:rPr>
        <w:t xml:space="preserve">it can be difficult to </w:t>
      </w:r>
      <w:r w:rsidR="00E276B7" w:rsidRPr="00617370">
        <w:rPr>
          <w:spacing w:val="-2"/>
        </w:rPr>
        <w:t>deter</w:t>
      </w:r>
      <w:r w:rsidR="004D502D" w:rsidRPr="00617370">
        <w:rPr>
          <w:spacing w:val="-2"/>
        </w:rPr>
        <w:t>m</w:t>
      </w:r>
      <w:r w:rsidR="00E276B7" w:rsidRPr="00617370">
        <w:rPr>
          <w:spacing w:val="-2"/>
        </w:rPr>
        <w:t>ine</w:t>
      </w:r>
      <w:r w:rsidR="00D717E6" w:rsidRPr="00617370">
        <w:rPr>
          <w:spacing w:val="-2"/>
        </w:rPr>
        <w:t xml:space="preserve"> the impact </w:t>
      </w:r>
      <w:r w:rsidR="004D502D" w:rsidRPr="00617370">
        <w:rPr>
          <w:spacing w:val="-2"/>
        </w:rPr>
        <w:t xml:space="preserve">that </w:t>
      </w:r>
      <w:r w:rsidR="00D717E6" w:rsidRPr="00617370">
        <w:rPr>
          <w:spacing w:val="-2"/>
        </w:rPr>
        <w:t xml:space="preserve">individual schools have on </w:t>
      </w:r>
      <w:r w:rsidR="00BB1DA1" w:rsidRPr="00617370">
        <w:rPr>
          <w:spacing w:val="-2"/>
        </w:rPr>
        <w:t xml:space="preserve">a </w:t>
      </w:r>
      <w:r w:rsidRPr="00617370">
        <w:rPr>
          <w:spacing w:val="-2"/>
        </w:rPr>
        <w:t>student</w:t>
      </w:r>
      <w:r w:rsidR="00BB1DA1" w:rsidRPr="00617370">
        <w:rPr>
          <w:spacing w:val="-2"/>
        </w:rPr>
        <w:t>’</w:t>
      </w:r>
      <w:r w:rsidRPr="00617370">
        <w:rPr>
          <w:spacing w:val="-2"/>
        </w:rPr>
        <w:t>s academic performance (</w:t>
      </w:r>
      <w:r w:rsidR="00FE33A6" w:rsidRPr="00617370">
        <w:rPr>
          <w:spacing w:val="-2"/>
        </w:rPr>
        <w:t xml:space="preserve">Carr et al. </w:t>
      </w:r>
      <w:r w:rsidRPr="00617370">
        <w:rPr>
          <w:spacing w:val="-2"/>
        </w:rPr>
        <w:t xml:space="preserve">2023). Longitudinal surveys help </w:t>
      </w:r>
      <w:r w:rsidR="004D502D" w:rsidRPr="00617370">
        <w:rPr>
          <w:spacing w:val="-2"/>
        </w:rPr>
        <w:t xml:space="preserve">to </w:t>
      </w:r>
      <w:r w:rsidRPr="00617370">
        <w:rPr>
          <w:spacing w:val="-2"/>
        </w:rPr>
        <w:t>remedy this limitation</w:t>
      </w:r>
      <w:r w:rsidR="004D502D" w:rsidRPr="00617370">
        <w:rPr>
          <w:spacing w:val="-2"/>
        </w:rPr>
        <w:t>,</w:t>
      </w:r>
      <w:r w:rsidRPr="00617370">
        <w:rPr>
          <w:spacing w:val="-2"/>
        </w:rPr>
        <w:t xml:space="preserve"> as they provide opportunities for analyses of individual changes</w:t>
      </w:r>
      <w:r w:rsidR="00C33897" w:rsidRPr="00617370">
        <w:rPr>
          <w:spacing w:val="-2"/>
        </w:rPr>
        <w:t xml:space="preserve"> and</w:t>
      </w:r>
      <w:r w:rsidRPr="00617370">
        <w:rPr>
          <w:spacing w:val="-2"/>
        </w:rPr>
        <w:t xml:space="preserve"> transitions across the </w:t>
      </w:r>
      <w:r w:rsidR="00071CD6" w:rsidRPr="00617370">
        <w:rPr>
          <w:spacing w:val="-2"/>
        </w:rPr>
        <w:t>educational trajectory</w:t>
      </w:r>
      <w:r w:rsidRPr="00617370">
        <w:rPr>
          <w:spacing w:val="-2"/>
        </w:rPr>
        <w:t xml:space="preserve">, particularly when measures of academic ability in combination with information about the school are available. </w:t>
      </w:r>
    </w:p>
    <w:p w14:paraId="00775F2B" w14:textId="752593D8" w:rsidR="007E4117" w:rsidRPr="00617370" w:rsidRDefault="007E4117" w:rsidP="007E4117">
      <w:pPr>
        <w:pStyle w:val="Text"/>
      </w:pPr>
      <w:r w:rsidRPr="00617370">
        <w:t xml:space="preserve">Data from the Longitudinal Surveys of Australian </w:t>
      </w:r>
      <w:r w:rsidR="6DE88A1E" w:rsidRPr="00617370">
        <w:t>Youth</w:t>
      </w:r>
      <w:r w:rsidRPr="00617370">
        <w:t xml:space="preserve"> </w:t>
      </w:r>
      <w:r w:rsidR="00F16B88" w:rsidRPr="00617370">
        <w:t xml:space="preserve">(LSAY) </w:t>
      </w:r>
      <w:r w:rsidRPr="00617370">
        <w:t xml:space="preserve">present one of the few opportunities in the Australian context for researchers to examine a nationally representative sample of young people </w:t>
      </w:r>
      <w:r w:rsidR="004A3ED6" w:rsidRPr="00617370">
        <w:t>in which</w:t>
      </w:r>
      <w:r w:rsidRPr="00617370">
        <w:t xml:space="preserve"> measures of academic achievement are available alongside demographic factors, information about the school they attended</w:t>
      </w:r>
      <w:r w:rsidR="004A3ED6" w:rsidRPr="00617370">
        <w:t xml:space="preserve"> and later</w:t>
      </w:r>
      <w:r w:rsidRPr="00617370">
        <w:t xml:space="preserve"> outcomes. Moreover, with the introduction of the National Assessment Program — Literacy and Numeracy (NAPLAN), opportunities </w:t>
      </w:r>
      <w:r w:rsidR="004A3ED6" w:rsidRPr="00617370">
        <w:t xml:space="preserve">are now available </w:t>
      </w:r>
      <w:r w:rsidRPr="00617370">
        <w:t xml:space="preserve">for linking national assessment data </w:t>
      </w:r>
      <w:r w:rsidR="00E835BD" w:rsidRPr="00617370">
        <w:t xml:space="preserve">from several time points </w:t>
      </w:r>
      <w:r w:rsidRPr="00617370">
        <w:t xml:space="preserve">with existing longitudinal studies. </w:t>
      </w:r>
    </w:p>
    <w:p w14:paraId="7E8AB668" w14:textId="2DA1BCEC" w:rsidR="007E4117" w:rsidRPr="00617370" w:rsidRDefault="007E4117" w:rsidP="007E4117">
      <w:pPr>
        <w:pStyle w:val="Text"/>
      </w:pPr>
      <w:r w:rsidRPr="00617370">
        <w:t xml:space="preserve">NAPLAN was introduced in 2008 as a means of national standardised testing in Australian primary and secondary schools and allows for comparisons of results across year levels and over time (Goss </w:t>
      </w:r>
      <w:r w:rsidR="00340C7B" w:rsidRPr="00617370">
        <w:t xml:space="preserve">et al. </w:t>
      </w:r>
      <w:r w:rsidRPr="00617370">
        <w:t xml:space="preserve">2016). The group of young people </w:t>
      </w:r>
      <w:r w:rsidR="00340C7B" w:rsidRPr="00617370">
        <w:t>who</w:t>
      </w:r>
      <w:r w:rsidRPr="00617370">
        <w:t xml:space="preserve"> commenced the LSAY program </w:t>
      </w:r>
      <w:r w:rsidR="00BA1FDB" w:rsidRPr="00617370">
        <w:t xml:space="preserve">at </w:t>
      </w:r>
      <w:r w:rsidR="00420F6A" w:rsidRPr="00617370">
        <w:t xml:space="preserve">the </w:t>
      </w:r>
      <w:r w:rsidR="00BA1FDB" w:rsidRPr="00617370">
        <w:t xml:space="preserve">age </w:t>
      </w:r>
      <w:r w:rsidR="00420F6A" w:rsidRPr="00617370">
        <w:t xml:space="preserve">of </w:t>
      </w:r>
      <w:r w:rsidR="00BA1FDB" w:rsidRPr="00617370">
        <w:t xml:space="preserve">15 </w:t>
      </w:r>
      <w:r w:rsidRPr="00617370">
        <w:t xml:space="preserve">is the first cohort </w:t>
      </w:r>
      <w:r w:rsidR="00213986" w:rsidRPr="00617370">
        <w:t>for which</w:t>
      </w:r>
      <w:r w:rsidRPr="00617370">
        <w:t xml:space="preserve"> NAPLAN data from </w:t>
      </w:r>
      <w:r w:rsidR="00213986" w:rsidRPr="00617370">
        <w:t xml:space="preserve">the </w:t>
      </w:r>
      <w:r w:rsidRPr="00617370">
        <w:t>primary through to the secondary school years can be explored in combination with demographic information</w:t>
      </w:r>
      <w:r w:rsidR="00FB281A" w:rsidRPr="00617370">
        <w:t xml:space="preserve"> and</w:t>
      </w:r>
      <w:r w:rsidRPr="00617370">
        <w:t xml:space="preserve"> contextual survey data</w:t>
      </w:r>
      <w:r w:rsidR="00FB281A" w:rsidRPr="00617370">
        <w:t xml:space="preserve">. </w:t>
      </w:r>
      <w:r w:rsidR="00522277" w:rsidRPr="00617370">
        <w:t>I</w:t>
      </w:r>
      <w:r w:rsidRPr="00617370">
        <w:t>nformation about the school attended</w:t>
      </w:r>
      <w:r w:rsidR="00624788" w:rsidRPr="00617370">
        <w:t>,</w:t>
      </w:r>
      <w:r w:rsidRPr="00617370">
        <w:t xml:space="preserve"> </w:t>
      </w:r>
      <w:r w:rsidR="00522277" w:rsidRPr="00617370">
        <w:t xml:space="preserve">using </w:t>
      </w:r>
      <w:r w:rsidR="00522277" w:rsidRPr="00617370">
        <w:rPr>
          <w:i/>
        </w:rPr>
        <w:t>My School</w:t>
      </w:r>
      <w:r w:rsidR="00522277" w:rsidRPr="00617370">
        <w:t xml:space="preserve"> </w:t>
      </w:r>
      <w:r w:rsidR="00E47446" w:rsidRPr="00617370">
        <w:t>data</w:t>
      </w:r>
      <w:r w:rsidR="00213986" w:rsidRPr="00617370">
        <w:t>,</w:t>
      </w:r>
      <w:r w:rsidR="00E47446" w:rsidRPr="00617370">
        <w:t xml:space="preserve"> administered by the Australian Curriculum, Assessment and Reporting </w:t>
      </w:r>
      <w:r w:rsidR="005E3DCB" w:rsidRPr="00617370">
        <w:t>Authority (ACARA)</w:t>
      </w:r>
      <w:r w:rsidR="00213986" w:rsidRPr="00617370">
        <w:t>,</w:t>
      </w:r>
      <w:r w:rsidR="005E3DCB" w:rsidRPr="00617370">
        <w:t xml:space="preserve"> has also </w:t>
      </w:r>
      <w:r w:rsidR="00C438E6" w:rsidRPr="00617370">
        <w:t xml:space="preserve">made </w:t>
      </w:r>
      <w:r w:rsidR="00194A51" w:rsidRPr="00617370">
        <w:t xml:space="preserve">it </w:t>
      </w:r>
      <w:r w:rsidR="00C438E6" w:rsidRPr="00617370">
        <w:t xml:space="preserve">possible </w:t>
      </w:r>
      <w:r w:rsidR="00194A51" w:rsidRPr="00617370">
        <w:t xml:space="preserve">to explore the effects of </w:t>
      </w:r>
      <w:r w:rsidR="00725C3C" w:rsidRPr="00617370">
        <w:t xml:space="preserve">individual schools on the </w:t>
      </w:r>
      <w:r w:rsidR="00CD23F7" w:rsidRPr="00617370">
        <w:t>student trajector</w:t>
      </w:r>
      <w:r w:rsidRPr="00617370">
        <w:t>y</w:t>
      </w:r>
      <w:r w:rsidR="00CD23F7" w:rsidRPr="00617370">
        <w:t xml:space="preserve">. </w:t>
      </w:r>
    </w:p>
    <w:p w14:paraId="527E6EC5" w14:textId="51F7AB25" w:rsidR="007E4117" w:rsidRPr="00617370" w:rsidRDefault="00CF3195" w:rsidP="007E4117">
      <w:pPr>
        <w:pStyle w:val="Text"/>
      </w:pPr>
      <w:r w:rsidRPr="00617370">
        <w:t>L</w:t>
      </w:r>
      <w:r w:rsidR="00092405" w:rsidRPr="00617370">
        <w:t xml:space="preserve">inking these </w:t>
      </w:r>
      <w:r w:rsidR="00B07DF2" w:rsidRPr="00617370">
        <w:t>three data sources</w:t>
      </w:r>
      <w:r w:rsidR="00065DAE" w:rsidRPr="00617370">
        <w:t xml:space="preserve"> </w:t>
      </w:r>
      <w:r w:rsidR="007E4117" w:rsidRPr="00617370">
        <w:t xml:space="preserve">provides a unique opportunity </w:t>
      </w:r>
      <w:r w:rsidR="000B26C5" w:rsidRPr="00617370">
        <w:t>for</w:t>
      </w:r>
      <w:r w:rsidR="007E4117" w:rsidRPr="00617370">
        <w:t xml:space="preserve"> investigat</w:t>
      </w:r>
      <w:r w:rsidR="000B26C5" w:rsidRPr="00617370">
        <w:t>ing</w:t>
      </w:r>
      <w:r w:rsidR="007E4117" w:rsidRPr="00617370">
        <w:t xml:space="preserve"> in more detail the significance of the NAPLAN assessment and </w:t>
      </w:r>
      <w:r w:rsidR="00213986" w:rsidRPr="00617370">
        <w:t>its potential role</w:t>
      </w:r>
      <w:r w:rsidR="00211175" w:rsidRPr="00617370">
        <w:t xml:space="preserve"> in</w:t>
      </w:r>
      <w:r w:rsidR="007E4117" w:rsidRPr="00617370">
        <w:t xml:space="preserve"> predict</w:t>
      </w:r>
      <w:r w:rsidR="00211175" w:rsidRPr="00617370">
        <w:t>ing</w:t>
      </w:r>
      <w:r w:rsidR="007E4117" w:rsidRPr="00617370">
        <w:t xml:space="preserve"> later educational outcomes</w:t>
      </w:r>
      <w:r w:rsidR="00211175" w:rsidRPr="00617370">
        <w:t>,</w:t>
      </w:r>
      <w:r w:rsidR="007E4117" w:rsidRPr="00617370">
        <w:t xml:space="preserve"> </w:t>
      </w:r>
      <w:r w:rsidR="00DD3194" w:rsidRPr="00617370">
        <w:t>simultaneously</w:t>
      </w:r>
      <w:r w:rsidR="007E4117" w:rsidRPr="00617370">
        <w:t xml:space="preserve"> accounting for the background characteristics of the students</w:t>
      </w:r>
      <w:r w:rsidR="00211175" w:rsidRPr="00617370">
        <w:t xml:space="preserve"> and </w:t>
      </w:r>
      <w:r w:rsidR="007E4117" w:rsidRPr="00617370">
        <w:t>the school they attended.</w:t>
      </w:r>
      <w:r w:rsidR="00586156" w:rsidRPr="00617370">
        <w:t xml:space="preserve"> </w:t>
      </w:r>
      <w:r w:rsidR="007E4117" w:rsidRPr="00617370">
        <w:t xml:space="preserve">One method of investigating the relationship between NAPLAN performance and later academic success is the use of </w:t>
      </w:r>
      <w:r w:rsidR="001C1B8F" w:rsidRPr="00617370">
        <w:t xml:space="preserve">the </w:t>
      </w:r>
      <w:r w:rsidR="007E4117" w:rsidRPr="00617370">
        <w:t xml:space="preserve">Australian Tertiary </w:t>
      </w:r>
      <w:r w:rsidR="00B118E9" w:rsidRPr="00617370">
        <w:t xml:space="preserve">Admission </w:t>
      </w:r>
      <w:r w:rsidR="007E4117" w:rsidRPr="00617370">
        <w:t>Rank</w:t>
      </w:r>
      <w:r w:rsidR="00C053FD" w:rsidRPr="00617370">
        <w:t>, which is collected via LSAY</w:t>
      </w:r>
      <w:r w:rsidR="007E4117" w:rsidRPr="00617370">
        <w:t>. The ATAR is</w:t>
      </w:r>
      <w:r w:rsidR="00A268DE" w:rsidRPr="00617370">
        <w:t xml:space="preserve"> a</w:t>
      </w:r>
      <w:r w:rsidR="00115CC1" w:rsidRPr="00617370">
        <w:t xml:space="preserve"> standardised measure of high school achievement</w:t>
      </w:r>
      <w:r w:rsidR="007E4117" w:rsidRPr="00617370">
        <w:t xml:space="preserve"> calculated by Australian state education authorities for the purposes of university admissions. In addition to granting access to competitive tertiary courses, </w:t>
      </w:r>
      <w:r w:rsidR="000E11A9" w:rsidRPr="00617370">
        <w:t>ATAR scores have been shown</w:t>
      </w:r>
      <w:r w:rsidR="00EE2CE3" w:rsidRPr="00617370">
        <w:t xml:space="preserve"> to</w:t>
      </w:r>
      <w:r w:rsidR="000E11A9" w:rsidRPr="00617370">
        <w:t xml:space="preserve"> </w:t>
      </w:r>
      <w:r w:rsidR="007E4117" w:rsidRPr="00617370">
        <w:t>predict the likelihood of completing those courses versus dropping out (</w:t>
      </w:r>
      <w:r w:rsidR="000B50A2" w:rsidRPr="00617370">
        <w:t xml:space="preserve">Marks 2019; </w:t>
      </w:r>
      <w:r w:rsidR="00545149" w:rsidRPr="00617370">
        <w:t xml:space="preserve">Productivity Commission </w:t>
      </w:r>
      <w:r w:rsidR="007E4117" w:rsidRPr="00617370">
        <w:t>2019). Demonstrating an association between NAPLAN and ATAR</w:t>
      </w:r>
      <w:r w:rsidR="004C2D8A" w:rsidRPr="00617370">
        <w:t xml:space="preserve"> scores</w:t>
      </w:r>
      <w:r w:rsidR="007E4117" w:rsidRPr="00617370">
        <w:t xml:space="preserve"> is therefore likely to represent an association between NAPLAN scores and later educational success. </w:t>
      </w:r>
    </w:p>
    <w:p w14:paraId="576C66A3" w14:textId="256D9451" w:rsidR="007E4117" w:rsidRPr="00617370" w:rsidDel="005720E6" w:rsidRDefault="007E4117" w:rsidP="007E4117">
      <w:pPr>
        <w:pStyle w:val="Text"/>
      </w:pPr>
      <w:bookmarkStart w:id="36" w:name="_Hlk163828289"/>
      <w:r w:rsidRPr="00617370" w:rsidDel="005720E6">
        <w:lastRenderedPageBreak/>
        <w:t xml:space="preserve">The aim of this study is to use NAPLAN data </w:t>
      </w:r>
      <w:r w:rsidR="00D313C0" w:rsidRPr="00617370">
        <w:t xml:space="preserve">that have </w:t>
      </w:r>
      <w:r w:rsidR="00C97E51" w:rsidRPr="00617370">
        <w:t xml:space="preserve">been </w:t>
      </w:r>
      <w:r w:rsidRPr="00617370" w:rsidDel="005720E6">
        <w:t xml:space="preserve">linked with records from LSAY to better understand the association between students’ </w:t>
      </w:r>
      <w:r w:rsidR="00212F45" w:rsidRPr="00617370">
        <w:t xml:space="preserve">early </w:t>
      </w:r>
      <w:r w:rsidRPr="00617370" w:rsidDel="005720E6">
        <w:t xml:space="preserve">academic </w:t>
      </w:r>
      <w:r w:rsidR="00E82967" w:rsidRPr="00617370">
        <w:t>performance at</w:t>
      </w:r>
      <w:r w:rsidRPr="00617370" w:rsidDel="005720E6">
        <w:t xml:space="preserve"> school and their schooling outcomes</w:t>
      </w:r>
      <w:r w:rsidR="005009DB" w:rsidRPr="00617370" w:rsidDel="005720E6">
        <w:t xml:space="preserve"> </w:t>
      </w:r>
      <w:r w:rsidR="00492D7A" w:rsidRPr="00617370">
        <w:t xml:space="preserve">using </w:t>
      </w:r>
      <w:r w:rsidRPr="00617370" w:rsidDel="005720E6">
        <w:t xml:space="preserve">ATAR scores </w:t>
      </w:r>
      <w:r w:rsidR="00872792" w:rsidRPr="00617370" w:rsidDel="005720E6">
        <w:t xml:space="preserve">as a measure of </w:t>
      </w:r>
      <w:r w:rsidRPr="00617370">
        <w:t>tertiary entrance performance</w:t>
      </w:r>
      <w:r w:rsidRPr="00617370" w:rsidDel="005720E6">
        <w:t xml:space="preserve">. </w:t>
      </w:r>
    </w:p>
    <w:bookmarkEnd w:id="36"/>
    <w:p w14:paraId="48CC8662" w14:textId="1D5A2588" w:rsidR="007E4117" w:rsidRPr="00617370" w:rsidRDefault="007E4117" w:rsidP="007E4117">
      <w:pPr>
        <w:pStyle w:val="Text"/>
      </w:pPr>
      <w:r w:rsidRPr="00617370">
        <w:t xml:space="preserve">This report is structured as follows. The first section presents a brief </w:t>
      </w:r>
      <w:r w:rsidR="00872792" w:rsidRPr="00617370">
        <w:t xml:space="preserve">overview </w:t>
      </w:r>
      <w:r w:rsidRPr="00617370">
        <w:t>of what is currently known about the factors that contribute to academic success in Australia</w:t>
      </w:r>
      <w:r w:rsidR="0041168A" w:rsidRPr="00617370">
        <w:t>,</w:t>
      </w:r>
      <w:r w:rsidRPr="00617370">
        <w:t xml:space="preserve"> with a </w:t>
      </w:r>
      <w:r w:rsidR="00872792" w:rsidRPr="00617370">
        <w:t xml:space="preserve">primary </w:t>
      </w:r>
      <w:r w:rsidRPr="00617370">
        <w:t xml:space="preserve">focus on tertiary entrance. The subsequent section provides an outline of the data and methodology </w:t>
      </w:r>
      <w:r w:rsidR="00012862" w:rsidRPr="00617370">
        <w:t>used in this study,</w:t>
      </w:r>
      <w:r w:rsidRPr="00617370">
        <w:t xml:space="preserve"> followed by the results of the modelling. The final section</w:t>
      </w:r>
      <w:r w:rsidR="00AE2EA2" w:rsidRPr="00617370">
        <w:t>s</w:t>
      </w:r>
      <w:r w:rsidRPr="00617370">
        <w:t xml:space="preserve"> contain a discussion of the results.</w:t>
      </w:r>
    </w:p>
    <w:p w14:paraId="694C3557" w14:textId="77777777" w:rsidR="007E4117" w:rsidRPr="00617370" w:rsidRDefault="007E4117" w:rsidP="007E4117">
      <w:pPr>
        <w:pStyle w:val="Heading2"/>
      </w:pPr>
      <w:bookmarkStart w:id="37" w:name="_Toc166511936"/>
      <w:r w:rsidRPr="00617370">
        <w:t>Factors that influence tertiary education pathways</w:t>
      </w:r>
      <w:bookmarkEnd w:id="37"/>
      <w:r w:rsidRPr="00617370">
        <w:t xml:space="preserve"> </w:t>
      </w:r>
    </w:p>
    <w:p w14:paraId="4E154EEC" w14:textId="674BDEE9" w:rsidR="004F4C55" w:rsidRPr="00617370" w:rsidRDefault="00160B47" w:rsidP="00160B47">
      <w:pPr>
        <w:pStyle w:val="Text"/>
      </w:pPr>
      <w:r w:rsidRPr="00617370">
        <w:t>Studies on tertiary education pathways in Australia can be organised into two main categories</w:t>
      </w:r>
      <w:r w:rsidR="00797B13" w:rsidRPr="00617370">
        <w:t>:</w:t>
      </w:r>
      <w:r w:rsidRPr="00617370">
        <w:t xml:space="preserve"> </w:t>
      </w:r>
      <w:r w:rsidR="00797B13" w:rsidRPr="00617370">
        <w:t>s</w:t>
      </w:r>
      <w:r w:rsidRPr="00617370">
        <w:t>chool leaving and completion</w:t>
      </w:r>
      <w:r w:rsidR="00797B13" w:rsidRPr="00617370">
        <w:t>;</w:t>
      </w:r>
      <w:r w:rsidRPr="00617370">
        <w:t xml:space="preserve"> and </w:t>
      </w:r>
      <w:r w:rsidR="00797B13" w:rsidRPr="00617370">
        <w:t xml:space="preserve">university </w:t>
      </w:r>
      <w:r w:rsidRPr="00617370">
        <w:t xml:space="preserve">entrance, participation and completion. While various methods and definitions have been used in these studies, </w:t>
      </w:r>
      <w:r w:rsidR="00C35D4E" w:rsidRPr="00617370">
        <w:t xml:space="preserve">in the majority of these studies </w:t>
      </w:r>
      <w:r w:rsidRPr="00617370">
        <w:t xml:space="preserve">prior academic achievement (in its various forms) has been </w:t>
      </w:r>
      <w:r w:rsidR="001D3FAE" w:rsidRPr="00617370">
        <w:t xml:space="preserve">shown to be </w:t>
      </w:r>
      <w:r w:rsidRPr="00617370">
        <w:t>one of the most significant factors influenc</w:t>
      </w:r>
      <w:r w:rsidR="001D3FAE" w:rsidRPr="00617370">
        <w:t>ing</w:t>
      </w:r>
      <w:r w:rsidRPr="00617370">
        <w:t xml:space="preserve"> tertiary education pathways (</w:t>
      </w:r>
      <w:r w:rsidR="006371EF" w:rsidRPr="00617370">
        <w:t xml:space="preserve">Chesters 2019; </w:t>
      </w:r>
      <w:r w:rsidR="00D47F4A" w:rsidRPr="00617370">
        <w:t xml:space="preserve">Houng &amp; Justman 2014; </w:t>
      </w:r>
      <w:r w:rsidRPr="00617370">
        <w:t xml:space="preserve">Le </w:t>
      </w:r>
      <w:r w:rsidR="00D47F4A" w:rsidRPr="00617370">
        <w:t xml:space="preserve">&amp; </w:t>
      </w:r>
      <w:r w:rsidRPr="00617370">
        <w:t>Miller 2002</w:t>
      </w:r>
      <w:r w:rsidR="009C7B44" w:rsidRPr="00617370">
        <w:t>;</w:t>
      </w:r>
      <w:r w:rsidRPr="00617370">
        <w:t xml:space="preserve"> </w:t>
      </w:r>
      <w:r w:rsidR="006371EF" w:rsidRPr="00617370">
        <w:t xml:space="preserve">Lim 2015; </w:t>
      </w:r>
      <w:r w:rsidR="009C7B44" w:rsidRPr="00617370">
        <w:t>Marks 2010</w:t>
      </w:r>
      <w:r w:rsidR="004F2401" w:rsidRPr="00617370">
        <w:t>,</w:t>
      </w:r>
      <w:r w:rsidR="006371EF" w:rsidRPr="00617370">
        <w:t xml:space="preserve"> 2019; </w:t>
      </w:r>
      <w:r w:rsidR="009C7B44" w:rsidRPr="00617370">
        <w:t>Marks</w:t>
      </w:r>
      <w:r w:rsidR="006371EF" w:rsidRPr="00617370">
        <w:t xml:space="preserve">, Hillman &amp; McMillan </w:t>
      </w:r>
      <w:r w:rsidR="009C7B44" w:rsidRPr="00617370">
        <w:t xml:space="preserve">2001; </w:t>
      </w:r>
      <w:r w:rsidRPr="00617370">
        <w:t xml:space="preserve">McMillan </w:t>
      </w:r>
      <w:r w:rsidR="00553560" w:rsidRPr="00617370">
        <w:t>&amp;</w:t>
      </w:r>
      <w:r w:rsidRPr="00617370">
        <w:t xml:space="preserve"> Marks 2003</w:t>
      </w:r>
      <w:r w:rsidR="009C7B44" w:rsidRPr="00617370">
        <w:t>;</w:t>
      </w:r>
      <w:r w:rsidRPr="00617370">
        <w:t xml:space="preserve"> Piacentini &amp; Pacileo 2019; Productivity Commission 2019). Other frequently cited factors include gender (</w:t>
      </w:r>
      <w:r w:rsidR="00EE5C2D" w:rsidRPr="00617370">
        <w:t xml:space="preserve">Chesters 2019; </w:t>
      </w:r>
      <w:r w:rsidRPr="00617370">
        <w:t xml:space="preserve">McMillan </w:t>
      </w:r>
      <w:r w:rsidR="00EE5C2D" w:rsidRPr="00617370">
        <w:t xml:space="preserve">&amp; </w:t>
      </w:r>
      <w:r w:rsidRPr="00617370">
        <w:t>Marks 2003</w:t>
      </w:r>
      <w:r w:rsidR="003758BE" w:rsidRPr="00617370">
        <w:t>;</w:t>
      </w:r>
      <w:r w:rsidRPr="00617370">
        <w:t xml:space="preserve"> </w:t>
      </w:r>
      <w:r w:rsidR="00EE5C2D" w:rsidRPr="00617370">
        <w:t xml:space="preserve">Marks, </w:t>
      </w:r>
      <w:r w:rsidR="00366A93" w:rsidRPr="00617370">
        <w:t xml:space="preserve">McMillan </w:t>
      </w:r>
      <w:r w:rsidR="00481B5F" w:rsidRPr="00617370">
        <w:t>&amp;</w:t>
      </w:r>
      <w:r w:rsidR="00366A93" w:rsidRPr="00617370">
        <w:t xml:space="preserve"> </w:t>
      </w:r>
      <w:r w:rsidR="00EE5C2D" w:rsidRPr="00617370">
        <w:t>Hillman 2001;</w:t>
      </w:r>
      <w:r w:rsidRPr="00617370">
        <w:t xml:space="preserve"> Lim 2015)</w:t>
      </w:r>
      <w:r w:rsidR="00264CD6" w:rsidRPr="00617370">
        <w:t>;</w:t>
      </w:r>
      <w:r w:rsidRPr="00617370">
        <w:t xml:space="preserve"> socioeconomic status (</w:t>
      </w:r>
      <w:r w:rsidR="00192660" w:rsidRPr="00617370">
        <w:t>Dean et al. 2023; Houng &amp; Justman</w:t>
      </w:r>
      <w:r w:rsidR="001B08B4" w:rsidRPr="00617370">
        <w:t xml:space="preserve"> 2014, 2015</w:t>
      </w:r>
      <w:r w:rsidR="00192660" w:rsidRPr="00617370">
        <w:t xml:space="preserve">; </w:t>
      </w:r>
      <w:r w:rsidRPr="00617370">
        <w:t xml:space="preserve">Le </w:t>
      </w:r>
      <w:r w:rsidR="00192660" w:rsidRPr="00617370">
        <w:t xml:space="preserve">&amp; </w:t>
      </w:r>
      <w:r w:rsidRPr="00617370">
        <w:t>Miller 2002</w:t>
      </w:r>
      <w:r w:rsidR="00E346DF" w:rsidRPr="00617370">
        <w:t>;</w:t>
      </w:r>
      <w:r w:rsidRPr="00617370">
        <w:t xml:space="preserve"> McMillan </w:t>
      </w:r>
      <w:r w:rsidR="00192660" w:rsidRPr="00617370">
        <w:t xml:space="preserve">&amp; </w:t>
      </w:r>
      <w:r w:rsidRPr="00617370">
        <w:t>Marks 2003)</w:t>
      </w:r>
      <w:r w:rsidR="00A71CBB" w:rsidRPr="00617370">
        <w:t>;</w:t>
      </w:r>
      <w:r w:rsidRPr="00617370">
        <w:t xml:space="preserve"> school sector (Le </w:t>
      </w:r>
      <w:r w:rsidR="00E346DF" w:rsidRPr="00617370">
        <w:t xml:space="preserve">&amp; </w:t>
      </w:r>
      <w:r w:rsidRPr="00617370">
        <w:t>Miller 2002</w:t>
      </w:r>
      <w:r w:rsidR="00E346DF" w:rsidRPr="00617370">
        <w:t>;</w:t>
      </w:r>
      <w:r w:rsidRPr="00617370">
        <w:t xml:space="preserve"> McMillan </w:t>
      </w:r>
      <w:r w:rsidR="00E346DF" w:rsidRPr="00617370">
        <w:t xml:space="preserve">&amp; </w:t>
      </w:r>
      <w:r w:rsidRPr="00617370">
        <w:t>Marks 2003)</w:t>
      </w:r>
      <w:r w:rsidR="00A71CBB" w:rsidRPr="00617370">
        <w:t>;</w:t>
      </w:r>
      <w:r w:rsidRPr="00617370">
        <w:t xml:space="preserve"> and geographic location (</w:t>
      </w:r>
      <w:r w:rsidR="00E346DF" w:rsidRPr="00617370">
        <w:t xml:space="preserve">Lim 2015; Marks, </w:t>
      </w:r>
      <w:r w:rsidR="008C672A" w:rsidRPr="00617370">
        <w:t xml:space="preserve">McMillan &amp; </w:t>
      </w:r>
      <w:r w:rsidR="00E346DF" w:rsidRPr="00617370">
        <w:t>Hillman 2001</w:t>
      </w:r>
      <w:r w:rsidR="00364089" w:rsidRPr="00617370">
        <w:t xml:space="preserve">; </w:t>
      </w:r>
      <w:r w:rsidRPr="00617370">
        <w:t xml:space="preserve">McMillan </w:t>
      </w:r>
      <w:r w:rsidR="00E346DF" w:rsidRPr="00617370">
        <w:t xml:space="preserve">&amp; </w:t>
      </w:r>
      <w:r w:rsidRPr="00617370">
        <w:t xml:space="preserve">Marks 2003). However, the </w:t>
      </w:r>
      <w:r w:rsidR="009C386D" w:rsidRPr="00617370">
        <w:t>extent of the inf</w:t>
      </w:r>
      <w:r w:rsidR="00EC6ACE" w:rsidRPr="00617370">
        <w:t>l</w:t>
      </w:r>
      <w:r w:rsidR="009C386D" w:rsidRPr="00617370">
        <w:t>uence</w:t>
      </w:r>
      <w:r w:rsidRPr="00617370">
        <w:t xml:space="preserve"> of these factors relies on the definitions used and consideration of the interrelationship between them. </w:t>
      </w:r>
      <w:r w:rsidR="00104646" w:rsidRPr="00617370">
        <w:t xml:space="preserve">The following brief review of the literature </w:t>
      </w:r>
      <w:r w:rsidR="008E7704" w:rsidRPr="00617370">
        <w:t xml:space="preserve">explores some of the </w:t>
      </w:r>
      <w:r w:rsidRPr="00617370">
        <w:t>complex interconnection</w:t>
      </w:r>
      <w:r w:rsidR="00B33ECD" w:rsidRPr="00617370">
        <w:t>s</w:t>
      </w:r>
      <w:r w:rsidRPr="00617370">
        <w:t xml:space="preserve"> between these factors in </w:t>
      </w:r>
      <w:r w:rsidR="00E50FBE" w:rsidRPr="00617370">
        <w:t xml:space="preserve">more </w:t>
      </w:r>
      <w:r w:rsidRPr="00617370">
        <w:t>detail</w:t>
      </w:r>
      <w:r w:rsidR="00C35D4E" w:rsidRPr="00617370">
        <w:t>.</w:t>
      </w:r>
    </w:p>
    <w:p w14:paraId="2BA73F58" w14:textId="6B535FFA" w:rsidR="007E4117" w:rsidRPr="00617370" w:rsidRDefault="682B11AB" w:rsidP="007E4117">
      <w:pPr>
        <w:pStyle w:val="Heading3"/>
      </w:pPr>
      <w:r w:rsidRPr="00617370">
        <w:t xml:space="preserve">School leaving and </w:t>
      </w:r>
      <w:r w:rsidR="00D23350" w:rsidRPr="00617370">
        <w:t>Y</w:t>
      </w:r>
      <w:r w:rsidRPr="00617370">
        <w:t>ear 12 completion</w:t>
      </w:r>
    </w:p>
    <w:p w14:paraId="15082127" w14:textId="75396FB1" w:rsidR="003A419F" w:rsidRPr="00617370" w:rsidRDefault="0096189E" w:rsidP="003A419F">
      <w:pPr>
        <w:pStyle w:val="Text"/>
      </w:pPr>
      <w:r w:rsidRPr="00617370">
        <w:t xml:space="preserve">Given the importance of </w:t>
      </w:r>
      <w:r w:rsidR="00720AC1" w:rsidRPr="00617370">
        <w:t>school</w:t>
      </w:r>
      <w:r w:rsidR="000C44EB" w:rsidRPr="00617370">
        <w:t xml:space="preserve"> education </w:t>
      </w:r>
      <w:r w:rsidR="00720AC1" w:rsidRPr="00617370">
        <w:t xml:space="preserve">in providing a </w:t>
      </w:r>
      <w:r w:rsidR="00882C72" w:rsidRPr="00617370">
        <w:t xml:space="preserve">pathway </w:t>
      </w:r>
      <w:r w:rsidR="00720AC1" w:rsidRPr="00617370">
        <w:t xml:space="preserve">for tertiary study, </w:t>
      </w:r>
      <w:r w:rsidR="00A92845" w:rsidRPr="00617370">
        <w:t>the factors that influence school leaving and completion</w:t>
      </w:r>
      <w:r w:rsidR="00F26A1A" w:rsidRPr="00617370">
        <w:t xml:space="preserve"> are </w:t>
      </w:r>
      <w:r w:rsidR="00AA7300" w:rsidRPr="00617370">
        <w:t xml:space="preserve">briefly </w:t>
      </w:r>
      <w:r w:rsidR="00F26A1A" w:rsidRPr="00617370">
        <w:t>discussed</w:t>
      </w:r>
      <w:r w:rsidR="00A92845" w:rsidRPr="00617370">
        <w:t xml:space="preserve">. </w:t>
      </w:r>
      <w:r w:rsidR="39654D7F" w:rsidRPr="00617370">
        <w:t>Prior</w:t>
      </w:r>
      <w:r w:rsidR="007C5B5E" w:rsidRPr="00617370">
        <w:t xml:space="preserve"> research </w:t>
      </w:r>
      <w:r w:rsidR="00615024" w:rsidRPr="00617370">
        <w:t>identifies</w:t>
      </w:r>
      <w:r w:rsidR="007C5B5E" w:rsidRPr="00617370">
        <w:t xml:space="preserve"> a </w:t>
      </w:r>
      <w:r w:rsidR="003A419F" w:rsidRPr="00617370">
        <w:t xml:space="preserve">strong relationship between levels of literacy </w:t>
      </w:r>
      <w:r w:rsidR="007E4117" w:rsidRPr="00617370">
        <w:t xml:space="preserve">and </w:t>
      </w:r>
      <w:r w:rsidR="003A419F" w:rsidRPr="00617370">
        <w:t xml:space="preserve">numeracy in high school and early school leaving and </w:t>
      </w:r>
      <w:r w:rsidR="00D23350" w:rsidRPr="00617370">
        <w:t>Year 12</w:t>
      </w:r>
      <w:r w:rsidR="003A419F" w:rsidRPr="00617370">
        <w:t xml:space="preserve"> completion</w:t>
      </w:r>
      <w:r w:rsidR="00EA09E3" w:rsidRPr="00617370">
        <w:t>. T</w:t>
      </w:r>
      <w:r w:rsidR="00D03C3A" w:rsidRPr="00617370">
        <w:t xml:space="preserve">hose </w:t>
      </w:r>
      <w:r w:rsidR="003A419F" w:rsidRPr="00617370">
        <w:t xml:space="preserve">with low levels of academic ability are less likely to complete </w:t>
      </w:r>
      <w:r w:rsidR="00D23350" w:rsidRPr="00617370">
        <w:t>Year 12</w:t>
      </w:r>
      <w:r w:rsidR="003A419F" w:rsidRPr="00617370">
        <w:t xml:space="preserve"> and are also far more likely to leave school early</w:t>
      </w:r>
      <w:r w:rsidR="00D03C3A" w:rsidRPr="00617370">
        <w:t xml:space="preserve"> (Gemici et al. 2014; Lamb 1997; Le &amp; Miller 2002; Marks &amp; Fleming 1999; McMillan &amp; Marks 2003; Polidano, Hanel &amp; Buddelmeyer 2012)</w:t>
      </w:r>
      <w:r w:rsidR="003A419F" w:rsidRPr="00617370">
        <w:t>. Other factors associated with school</w:t>
      </w:r>
      <w:r w:rsidR="00704EF3" w:rsidRPr="00617370">
        <w:t xml:space="preserve"> </w:t>
      </w:r>
      <w:r w:rsidR="003A419F" w:rsidRPr="00617370">
        <w:t>non</w:t>
      </w:r>
      <w:r w:rsidR="00704EF3" w:rsidRPr="00617370">
        <w:t>-</w:t>
      </w:r>
      <w:r w:rsidR="003A419F" w:rsidRPr="00617370">
        <w:t xml:space="preserve">completion include being male, </w:t>
      </w:r>
      <w:r w:rsidR="0064326D" w:rsidRPr="00617370">
        <w:t xml:space="preserve">having a </w:t>
      </w:r>
      <w:r w:rsidR="003A419F" w:rsidRPr="00617370">
        <w:t>lower socioeconomic status</w:t>
      </w:r>
      <w:r w:rsidR="0064326D" w:rsidRPr="00617370">
        <w:t xml:space="preserve"> or </w:t>
      </w:r>
      <w:r w:rsidR="003258F6" w:rsidRPr="00617370">
        <w:t xml:space="preserve">an </w:t>
      </w:r>
      <w:r w:rsidR="003A419F" w:rsidRPr="00617370">
        <w:t xml:space="preserve">English-speaking background, </w:t>
      </w:r>
      <w:r w:rsidR="00060BBB" w:rsidRPr="00617370">
        <w:t>atten</w:t>
      </w:r>
      <w:r w:rsidR="00287719" w:rsidRPr="00617370">
        <w:t xml:space="preserve">ding a </w:t>
      </w:r>
      <w:r w:rsidR="003A419F" w:rsidRPr="00617370">
        <w:t xml:space="preserve">rural or remote school, </w:t>
      </w:r>
      <w:r w:rsidR="00556F4C" w:rsidRPr="00617370">
        <w:t xml:space="preserve">or attending a </w:t>
      </w:r>
      <w:r w:rsidR="003A419F" w:rsidRPr="00617370">
        <w:t>government school</w:t>
      </w:r>
      <w:r w:rsidR="4778B354" w:rsidRPr="00617370">
        <w:t xml:space="preserve"> </w:t>
      </w:r>
      <w:r w:rsidR="003A419F" w:rsidRPr="00617370">
        <w:t>(</w:t>
      </w:r>
      <w:r w:rsidR="00971AC5" w:rsidRPr="00617370">
        <w:t>Curtis &amp; McMillan</w:t>
      </w:r>
      <w:r w:rsidR="004E0DA2" w:rsidRPr="00617370">
        <w:t xml:space="preserve"> 2008; </w:t>
      </w:r>
      <w:r w:rsidR="0077335E" w:rsidRPr="00617370">
        <w:t xml:space="preserve">Lamb 1997; </w:t>
      </w:r>
      <w:r w:rsidR="001B4B5E" w:rsidRPr="00617370">
        <w:t xml:space="preserve">Le &amp; Miller 2002; </w:t>
      </w:r>
      <w:r w:rsidR="00104B85" w:rsidRPr="00617370">
        <w:t xml:space="preserve">Fullarton et al. 2003; </w:t>
      </w:r>
      <w:r w:rsidR="003A419F" w:rsidRPr="00617370">
        <w:t xml:space="preserve">McMillan &amp; Marks 2003). However, </w:t>
      </w:r>
      <w:r w:rsidR="00B0075E" w:rsidRPr="00617370">
        <w:t>studies show that</w:t>
      </w:r>
      <w:r w:rsidR="00996C82" w:rsidRPr="00617370">
        <w:t>,</w:t>
      </w:r>
      <w:r w:rsidR="00B0075E" w:rsidRPr="00617370">
        <w:t xml:space="preserve"> </w:t>
      </w:r>
      <w:r w:rsidR="003A419F" w:rsidRPr="00617370">
        <w:t>when controlling for academic achievement, the effect of socioeconomic status</w:t>
      </w:r>
      <w:r w:rsidR="00143E95" w:rsidRPr="00617370">
        <w:t xml:space="preserve"> on school completion</w:t>
      </w:r>
      <w:r w:rsidR="003A419F" w:rsidRPr="00617370">
        <w:t xml:space="preserve"> </w:t>
      </w:r>
      <w:r w:rsidR="00197F66" w:rsidRPr="00617370">
        <w:t xml:space="preserve">is substantially reduced </w:t>
      </w:r>
      <w:r w:rsidR="003A419F" w:rsidRPr="00617370">
        <w:t>(</w:t>
      </w:r>
      <w:r w:rsidR="00197F66" w:rsidRPr="00617370">
        <w:t xml:space="preserve">Le &amp; Miller 2002; </w:t>
      </w:r>
      <w:r w:rsidR="003A419F" w:rsidRPr="00617370">
        <w:t xml:space="preserve">McMillan &amp; Marks 2003). </w:t>
      </w:r>
      <w:r w:rsidR="002B5504" w:rsidRPr="00617370">
        <w:t xml:space="preserve">Socioeconomic </w:t>
      </w:r>
      <w:r w:rsidR="00C44A12" w:rsidRPr="00617370">
        <w:t xml:space="preserve">disadvantage has also been used to explain lower </w:t>
      </w:r>
      <w:r w:rsidR="00FB701E" w:rsidRPr="00617370">
        <w:t xml:space="preserve">levels of </w:t>
      </w:r>
      <w:r w:rsidR="00C44A12" w:rsidRPr="00617370">
        <w:t xml:space="preserve">achievement and </w:t>
      </w:r>
      <w:r w:rsidR="001D00EF" w:rsidRPr="00617370">
        <w:t xml:space="preserve">of </w:t>
      </w:r>
      <w:r w:rsidR="00D23350" w:rsidRPr="00617370">
        <w:t>Year 12</w:t>
      </w:r>
      <w:r w:rsidR="00C44A12" w:rsidRPr="00617370">
        <w:t xml:space="preserve"> completion in rural areas. However</w:t>
      </w:r>
      <w:r w:rsidR="00644968" w:rsidRPr="00617370">
        <w:t>,</w:t>
      </w:r>
      <w:r w:rsidR="00231400" w:rsidRPr="00617370">
        <w:t xml:space="preserve"> </w:t>
      </w:r>
      <w:r w:rsidR="007757D4" w:rsidRPr="00617370">
        <w:t xml:space="preserve">a recent study </w:t>
      </w:r>
      <w:r w:rsidR="001D00EF" w:rsidRPr="00617370">
        <w:t>demonstrated</w:t>
      </w:r>
      <w:r w:rsidR="009B3119" w:rsidRPr="00617370">
        <w:t xml:space="preserve"> </w:t>
      </w:r>
      <w:r w:rsidR="00915234" w:rsidRPr="00617370">
        <w:t xml:space="preserve">that </w:t>
      </w:r>
      <w:r w:rsidR="003A419F" w:rsidRPr="00617370">
        <w:t xml:space="preserve">achievement levels </w:t>
      </w:r>
      <w:r w:rsidR="005A2799" w:rsidRPr="00617370">
        <w:t xml:space="preserve">in </w:t>
      </w:r>
      <w:r w:rsidR="00D23350" w:rsidRPr="00617370">
        <w:t>Year 12</w:t>
      </w:r>
      <w:r w:rsidR="005A2799" w:rsidRPr="00617370">
        <w:t xml:space="preserve"> </w:t>
      </w:r>
      <w:r w:rsidR="00890D28" w:rsidRPr="00617370">
        <w:t>in rural areas</w:t>
      </w:r>
      <w:r w:rsidR="005A2799" w:rsidRPr="00617370">
        <w:t xml:space="preserve"> </w:t>
      </w:r>
      <w:r w:rsidR="003A419F" w:rsidRPr="00617370">
        <w:t xml:space="preserve">cannot be entirely attributed to family background or the school </w:t>
      </w:r>
      <w:r w:rsidR="00B42051" w:rsidRPr="00617370">
        <w:t xml:space="preserve">the </w:t>
      </w:r>
      <w:r w:rsidR="003A419F" w:rsidRPr="00617370">
        <w:t xml:space="preserve">students attend, </w:t>
      </w:r>
      <w:r w:rsidR="00E2451A" w:rsidRPr="00617370">
        <w:t xml:space="preserve">suggesting instead </w:t>
      </w:r>
      <w:r w:rsidR="00A53932" w:rsidRPr="00617370">
        <w:t>that</w:t>
      </w:r>
      <w:r w:rsidR="003A419F" w:rsidRPr="00617370">
        <w:t xml:space="preserve"> a range of complex interconnecting factors </w:t>
      </w:r>
      <w:r w:rsidR="00A53932" w:rsidRPr="00617370">
        <w:t xml:space="preserve">are </w:t>
      </w:r>
      <w:r w:rsidR="003A419F" w:rsidRPr="00617370">
        <w:t>at play</w:t>
      </w:r>
      <w:r w:rsidR="00A53932" w:rsidRPr="00617370">
        <w:t xml:space="preserve">, </w:t>
      </w:r>
      <w:r w:rsidR="00BB52EF" w:rsidRPr="00617370">
        <w:t>with these</w:t>
      </w:r>
      <w:r w:rsidR="003A419F" w:rsidRPr="00617370">
        <w:t xml:space="preserve"> </w:t>
      </w:r>
      <w:r w:rsidR="00BB52EF" w:rsidRPr="00617370">
        <w:t xml:space="preserve">being </w:t>
      </w:r>
      <w:r w:rsidR="003A419F" w:rsidRPr="00617370">
        <w:t>unique to the rural setting</w:t>
      </w:r>
      <w:r w:rsidR="0098556A" w:rsidRPr="00617370">
        <w:t xml:space="preserve"> (Dean et al.</w:t>
      </w:r>
      <w:r w:rsidR="00A35F7F" w:rsidRPr="00617370">
        <w:t xml:space="preserve"> </w:t>
      </w:r>
      <w:r w:rsidR="000764AD" w:rsidRPr="00617370">
        <w:t>2023</w:t>
      </w:r>
      <w:r w:rsidR="0098556A" w:rsidRPr="00617370">
        <w:t>)</w:t>
      </w:r>
      <w:r w:rsidR="003A419F" w:rsidRPr="00617370">
        <w:t>.</w:t>
      </w:r>
      <w:r w:rsidR="001D0095" w:rsidRPr="00617370">
        <w:t xml:space="preserve"> </w:t>
      </w:r>
      <w:r w:rsidR="00951F6E" w:rsidRPr="00617370">
        <w:t>D</w:t>
      </w:r>
      <w:r w:rsidR="00112E24" w:rsidRPr="00617370">
        <w:t>ifferences in school</w:t>
      </w:r>
      <w:r w:rsidR="00A25CC9" w:rsidRPr="00617370">
        <w:t>-</w:t>
      </w:r>
      <w:r w:rsidR="00112E24" w:rsidRPr="00617370">
        <w:t xml:space="preserve">completion rates between Indigenous and non-Indigenous students </w:t>
      </w:r>
      <w:r w:rsidR="003738D5" w:rsidRPr="00617370">
        <w:t>can</w:t>
      </w:r>
      <w:r w:rsidR="00951F6E" w:rsidRPr="00617370">
        <w:t xml:space="preserve"> also be largely </w:t>
      </w:r>
      <w:r w:rsidR="003738D5" w:rsidRPr="00617370">
        <w:t>attributed to differences in academic achievement</w:t>
      </w:r>
      <w:r w:rsidR="00FA1345" w:rsidRPr="00617370">
        <w:t xml:space="preserve">, while </w:t>
      </w:r>
      <w:r w:rsidR="003333AA" w:rsidRPr="00617370">
        <w:t>for Indigenous students</w:t>
      </w:r>
      <w:r w:rsidR="00A1502D" w:rsidRPr="00617370">
        <w:t xml:space="preserve"> </w:t>
      </w:r>
      <w:r w:rsidR="00C47027" w:rsidRPr="00617370">
        <w:t xml:space="preserve">a </w:t>
      </w:r>
      <w:r w:rsidR="00161E51" w:rsidRPr="00617370">
        <w:t xml:space="preserve">high socioeconomic status or living in </w:t>
      </w:r>
      <w:r w:rsidR="00C47027" w:rsidRPr="00617370">
        <w:t xml:space="preserve">a </w:t>
      </w:r>
      <w:r w:rsidR="00161E51" w:rsidRPr="00617370">
        <w:t>metropolitan area</w:t>
      </w:r>
      <w:r w:rsidR="00555001" w:rsidRPr="00617370">
        <w:t xml:space="preserve"> does not moderate these </w:t>
      </w:r>
      <w:r w:rsidR="005E54D0" w:rsidRPr="00617370">
        <w:t xml:space="preserve">disparities </w:t>
      </w:r>
      <w:r w:rsidR="00555001" w:rsidRPr="00617370">
        <w:t>as it can for non-Indigenous students</w:t>
      </w:r>
      <w:r w:rsidR="00AD3BB0" w:rsidRPr="00617370">
        <w:t xml:space="preserve"> (Schellekens et al. 202</w:t>
      </w:r>
      <w:r w:rsidR="00BC789F" w:rsidRPr="00617370">
        <w:t>2</w:t>
      </w:r>
      <w:r w:rsidR="00AD3BB0" w:rsidRPr="00617370">
        <w:t>)</w:t>
      </w:r>
      <w:r w:rsidR="00555001" w:rsidRPr="00617370">
        <w:t>.</w:t>
      </w:r>
    </w:p>
    <w:p w14:paraId="0F245482" w14:textId="54294A89" w:rsidR="009503FB" w:rsidRPr="00617370" w:rsidRDefault="009503FB" w:rsidP="003A419F">
      <w:pPr>
        <w:pStyle w:val="Text"/>
      </w:pPr>
      <w:r w:rsidRPr="00617370">
        <w:t xml:space="preserve">Student aspirations have also been shown to have a </w:t>
      </w:r>
      <w:r w:rsidR="00397F16" w:rsidRPr="00617370">
        <w:t xml:space="preserve">substantial </w:t>
      </w:r>
      <w:r w:rsidRPr="00617370">
        <w:t xml:space="preserve">influence on </w:t>
      </w:r>
      <w:r w:rsidR="00F34FE0" w:rsidRPr="00617370">
        <w:t xml:space="preserve">school completion </w:t>
      </w:r>
      <w:r w:rsidR="00B620E1" w:rsidRPr="00617370">
        <w:t>(</w:t>
      </w:r>
      <w:r w:rsidR="00B3439D" w:rsidRPr="00617370">
        <w:t xml:space="preserve">Curtis &amp; McMillan 2008; </w:t>
      </w:r>
      <w:r w:rsidR="00485D96" w:rsidRPr="00617370">
        <w:t xml:space="preserve">Homel &amp; Ryan </w:t>
      </w:r>
      <w:r w:rsidR="0083247F" w:rsidRPr="00617370">
        <w:t>2</w:t>
      </w:r>
      <w:r w:rsidR="00485D96" w:rsidRPr="00617370">
        <w:t xml:space="preserve">014; </w:t>
      </w:r>
      <w:r w:rsidR="00B620E1" w:rsidRPr="00617370">
        <w:t>Khoo &amp; Ainley</w:t>
      </w:r>
      <w:r w:rsidR="00315BA6" w:rsidRPr="00617370">
        <w:t xml:space="preserve"> 2005</w:t>
      </w:r>
      <w:r w:rsidR="00B620E1" w:rsidRPr="00617370">
        <w:t>; Polidano, Hanel &amp; Buddelmeyer 2012)</w:t>
      </w:r>
      <w:r w:rsidR="00485D96" w:rsidRPr="00617370">
        <w:t xml:space="preserve">. </w:t>
      </w:r>
      <w:r w:rsidR="003174CC" w:rsidRPr="00617370">
        <w:t>Khoo and Ainley (</w:t>
      </w:r>
      <w:r w:rsidR="00586AF9" w:rsidRPr="00617370">
        <w:t xml:space="preserve">2005) </w:t>
      </w:r>
      <w:r w:rsidR="68A123A5" w:rsidRPr="00617370">
        <w:t>found</w:t>
      </w:r>
      <w:r w:rsidR="00586AF9" w:rsidRPr="00617370">
        <w:t xml:space="preserve"> </w:t>
      </w:r>
      <w:r w:rsidR="00A614FB" w:rsidRPr="00617370">
        <w:t>a strong relationship between intentions to com</w:t>
      </w:r>
      <w:r w:rsidR="00C16317" w:rsidRPr="00617370">
        <w:t xml:space="preserve">plete </w:t>
      </w:r>
      <w:r w:rsidR="00D23350" w:rsidRPr="00617370">
        <w:t>Year 12</w:t>
      </w:r>
      <w:r w:rsidR="00C16317" w:rsidRPr="00617370">
        <w:t xml:space="preserve"> and completion</w:t>
      </w:r>
      <w:r w:rsidR="00F37063" w:rsidRPr="00617370">
        <w:t>, while</w:t>
      </w:r>
      <w:r w:rsidR="00D244C4" w:rsidRPr="00617370">
        <w:t xml:space="preserve"> </w:t>
      </w:r>
      <w:r w:rsidR="00D244C4" w:rsidRPr="00617370">
        <w:lastRenderedPageBreak/>
        <w:t xml:space="preserve">Curtis </w:t>
      </w:r>
      <w:r w:rsidR="002753D0" w:rsidRPr="00617370">
        <w:t>and</w:t>
      </w:r>
      <w:r w:rsidR="00D244C4" w:rsidRPr="00617370">
        <w:t xml:space="preserve"> McMillan (2008) demonstrated </w:t>
      </w:r>
      <w:r w:rsidR="004973E1" w:rsidRPr="00617370">
        <w:t xml:space="preserve">that </w:t>
      </w:r>
      <w:r w:rsidR="00F37063" w:rsidRPr="00617370">
        <w:t xml:space="preserve">the </w:t>
      </w:r>
      <w:r w:rsidR="00486F9A" w:rsidRPr="00617370">
        <w:t xml:space="preserve">influence of background characteristics </w:t>
      </w:r>
      <w:r w:rsidR="0069298A" w:rsidRPr="00617370">
        <w:t xml:space="preserve">and academic ability </w:t>
      </w:r>
      <w:r w:rsidR="00D244C4" w:rsidRPr="00617370">
        <w:t xml:space="preserve">could be </w:t>
      </w:r>
      <w:r w:rsidR="0069298A" w:rsidRPr="00617370">
        <w:t xml:space="preserve">moderated by </w:t>
      </w:r>
      <w:r w:rsidR="00D244C4" w:rsidRPr="00617370">
        <w:t xml:space="preserve">the </w:t>
      </w:r>
      <w:r w:rsidR="009C26EC" w:rsidRPr="00617370">
        <w:t xml:space="preserve">intention to complete </w:t>
      </w:r>
      <w:r w:rsidR="00D23350" w:rsidRPr="00617370">
        <w:t>Year 12</w:t>
      </w:r>
      <w:r w:rsidR="00D244C4" w:rsidRPr="00617370">
        <w:t>.</w:t>
      </w:r>
      <w:r w:rsidR="009C26EC" w:rsidRPr="00617370">
        <w:t xml:space="preserve"> </w:t>
      </w:r>
      <w:r w:rsidR="00316F8C" w:rsidRPr="00617370">
        <w:t>F</w:t>
      </w:r>
      <w:r w:rsidR="009D04B1" w:rsidRPr="00617370">
        <w:t xml:space="preserve">or students with low socioeconomic </w:t>
      </w:r>
      <w:r w:rsidR="00625195" w:rsidRPr="00617370">
        <w:t xml:space="preserve">backgrounds, low educational aspirations </w:t>
      </w:r>
      <w:r w:rsidR="0022247F" w:rsidRPr="00617370">
        <w:t>were</w:t>
      </w:r>
      <w:r w:rsidR="009D04B1" w:rsidRPr="00617370">
        <w:t xml:space="preserve"> found to be the </w:t>
      </w:r>
      <w:r w:rsidR="00D97742" w:rsidRPr="00617370">
        <w:t xml:space="preserve">most important </w:t>
      </w:r>
      <w:r w:rsidR="0063032F" w:rsidRPr="00617370">
        <w:t>predictor of school non-completion</w:t>
      </w:r>
      <w:r w:rsidR="00820794" w:rsidRPr="00617370">
        <w:t xml:space="preserve">, followed by </w:t>
      </w:r>
      <w:r w:rsidR="00AF5E7A" w:rsidRPr="00617370">
        <w:t xml:space="preserve">literacy and numeracy achievement </w:t>
      </w:r>
      <w:r w:rsidR="0063032F" w:rsidRPr="00617370">
        <w:t>(Polidano, Hanel &amp; Buddelmeyer 2012)</w:t>
      </w:r>
      <w:r w:rsidR="002C58AF" w:rsidRPr="00617370">
        <w:t>.</w:t>
      </w:r>
    </w:p>
    <w:p w14:paraId="46E47A9F" w14:textId="47249CE9" w:rsidR="007E4117" w:rsidRPr="00617370" w:rsidRDefault="002838F6" w:rsidP="007E4117">
      <w:pPr>
        <w:pStyle w:val="Text"/>
      </w:pPr>
      <w:r w:rsidRPr="00617370">
        <w:t xml:space="preserve">Several studies have also explored </w:t>
      </w:r>
      <w:r w:rsidR="007E4117" w:rsidRPr="00617370">
        <w:t>how patterns of school completion ha</w:t>
      </w:r>
      <w:r w:rsidRPr="00617370">
        <w:t xml:space="preserve">ve </w:t>
      </w:r>
      <w:r w:rsidR="007E4117" w:rsidRPr="00617370">
        <w:t xml:space="preserve">changed over </w:t>
      </w:r>
      <w:r w:rsidR="00DC5110" w:rsidRPr="00617370">
        <w:t xml:space="preserve">the </w:t>
      </w:r>
      <w:r w:rsidR="007E4117" w:rsidRPr="00617370">
        <w:t xml:space="preserve">decades. </w:t>
      </w:r>
      <w:r w:rsidR="0066639F" w:rsidRPr="00617370">
        <w:t>W</w:t>
      </w:r>
      <w:r w:rsidR="005B1A48" w:rsidRPr="00617370">
        <w:t>hile</w:t>
      </w:r>
      <w:r w:rsidR="007E4117" w:rsidRPr="00617370">
        <w:t xml:space="preserve"> differences between males and females, socioeconomic </w:t>
      </w:r>
      <w:r w:rsidR="005B1A48" w:rsidRPr="00617370">
        <w:t xml:space="preserve">groups </w:t>
      </w:r>
      <w:r w:rsidR="007E4117" w:rsidRPr="00617370">
        <w:t>and school sector persist</w:t>
      </w:r>
      <w:r w:rsidR="005B1A48" w:rsidRPr="00617370">
        <w:t xml:space="preserve">, </w:t>
      </w:r>
      <w:r w:rsidR="007E4117" w:rsidRPr="00617370">
        <w:t xml:space="preserve">the relative gap </w:t>
      </w:r>
      <w:r w:rsidR="005B1A48" w:rsidRPr="00617370">
        <w:t xml:space="preserve">has </w:t>
      </w:r>
      <w:r w:rsidR="007E4117" w:rsidRPr="00617370">
        <w:t>declined</w:t>
      </w:r>
      <w:r w:rsidR="005B1A48" w:rsidRPr="00617370">
        <w:t xml:space="preserve"> (</w:t>
      </w:r>
      <w:r w:rsidR="001D23E2" w:rsidRPr="00617370">
        <w:t xml:space="preserve">Curtis &amp; McMillan 2008; </w:t>
      </w:r>
      <w:r w:rsidR="004341D2" w:rsidRPr="00617370">
        <w:t>McMillan &amp; Marks 2003</w:t>
      </w:r>
      <w:r w:rsidR="005B1A48" w:rsidRPr="00617370">
        <w:t>)</w:t>
      </w:r>
      <w:r w:rsidR="007E4117" w:rsidRPr="00617370">
        <w:t xml:space="preserve">. The reverse </w:t>
      </w:r>
      <w:r w:rsidR="00717119" w:rsidRPr="00617370">
        <w:t>is</w:t>
      </w:r>
      <w:r w:rsidR="007E4117" w:rsidRPr="00617370">
        <w:t xml:space="preserve"> true when looking at country of birth and region, which saw an increase in non-completion for those whose parents were Australian-born, and those from regional and rural areas. </w:t>
      </w:r>
    </w:p>
    <w:p w14:paraId="44C03DF5" w14:textId="538EB778" w:rsidR="007E4117" w:rsidRPr="00617370" w:rsidRDefault="007E4117" w:rsidP="007E4117">
      <w:pPr>
        <w:pStyle w:val="Heading3"/>
        <w:rPr>
          <w:rFonts w:ascii="Trebuchet MS" w:hAnsi="Trebuchet MS"/>
          <w:sz w:val="19"/>
        </w:rPr>
      </w:pPr>
      <w:r w:rsidRPr="00617370">
        <w:t>University entrance, participation and completion</w:t>
      </w:r>
    </w:p>
    <w:p w14:paraId="49E2A79C" w14:textId="3A410842" w:rsidR="004121F0" w:rsidRPr="00617370" w:rsidRDefault="002F75C9" w:rsidP="0012559D">
      <w:pPr>
        <w:pStyle w:val="Text"/>
      </w:pPr>
      <w:r w:rsidRPr="00617370">
        <w:t xml:space="preserve">Perhaps not </w:t>
      </w:r>
      <w:r w:rsidR="0071779A" w:rsidRPr="00617370">
        <w:t xml:space="preserve">surprisingly, the </w:t>
      </w:r>
      <w:r w:rsidR="00941000" w:rsidRPr="00617370">
        <w:t xml:space="preserve">characteristics </w:t>
      </w:r>
      <w:r w:rsidR="000D7BF4" w:rsidRPr="00617370">
        <w:t xml:space="preserve">of students </w:t>
      </w:r>
      <w:r w:rsidR="005B74BE" w:rsidRPr="00617370">
        <w:t xml:space="preserve">who </w:t>
      </w:r>
      <w:r w:rsidR="0071779A" w:rsidRPr="00617370">
        <w:t xml:space="preserve">take a university pathway are similar to those who complete school. </w:t>
      </w:r>
      <w:r w:rsidR="00177542" w:rsidRPr="00617370">
        <w:t xml:space="preserve">Students with higher levels of literacy and numeracy are more likely to </w:t>
      </w:r>
      <w:r w:rsidR="00BE175E" w:rsidRPr="00617370">
        <w:t xml:space="preserve">study at university </w:t>
      </w:r>
      <w:r w:rsidR="00D23792" w:rsidRPr="00617370">
        <w:t xml:space="preserve">(Chesters 2019; </w:t>
      </w:r>
      <w:r w:rsidR="001057B8" w:rsidRPr="00617370">
        <w:t xml:space="preserve">Le &amp; Miller 2005; </w:t>
      </w:r>
      <w:r w:rsidR="00D23792" w:rsidRPr="00617370">
        <w:t>Lim 2015; Marks 2019; Piacentini &amp; Pacileo 2019; Productivity Commission 2019)</w:t>
      </w:r>
      <w:r w:rsidR="00534EEE" w:rsidRPr="00617370">
        <w:t>,</w:t>
      </w:r>
      <w:r w:rsidR="00D23792" w:rsidRPr="00617370">
        <w:t xml:space="preserve"> </w:t>
      </w:r>
      <w:r w:rsidR="001C56E7" w:rsidRPr="00617370">
        <w:t xml:space="preserve">and </w:t>
      </w:r>
      <w:r w:rsidR="00BE175E" w:rsidRPr="00617370">
        <w:t>p</w:t>
      </w:r>
      <w:r w:rsidR="00CE21B0" w:rsidRPr="00617370">
        <w:t xml:space="preserve">rior academic achievement </w:t>
      </w:r>
      <w:r w:rsidR="00BE175E" w:rsidRPr="00617370">
        <w:t xml:space="preserve">has </w:t>
      </w:r>
      <w:r w:rsidR="00A86E70" w:rsidRPr="00617370">
        <w:t xml:space="preserve">been shown to have </w:t>
      </w:r>
      <w:r w:rsidR="00CE21B0" w:rsidRPr="00617370">
        <w:t xml:space="preserve">the greatest effect on tertiary entrance </w:t>
      </w:r>
      <w:r w:rsidR="004F4C37" w:rsidRPr="00617370">
        <w:t xml:space="preserve">scores </w:t>
      </w:r>
      <w:r w:rsidR="00CE21B0" w:rsidRPr="00617370">
        <w:t>(</w:t>
      </w:r>
      <w:r w:rsidR="001D3174" w:rsidRPr="00617370">
        <w:t xml:space="preserve">Houng &amp; Justman 2014; </w:t>
      </w:r>
      <w:r w:rsidR="00CE21B0" w:rsidRPr="00617370">
        <w:t>Marks 2010</w:t>
      </w:r>
      <w:r w:rsidR="0030687B" w:rsidRPr="00617370">
        <w:t>,</w:t>
      </w:r>
      <w:r w:rsidR="00A21829" w:rsidRPr="00617370">
        <w:t xml:space="preserve"> 2019; </w:t>
      </w:r>
      <w:r w:rsidR="001C56E7" w:rsidRPr="00617370">
        <w:t xml:space="preserve">Marks, </w:t>
      </w:r>
      <w:r w:rsidR="005C17A8" w:rsidRPr="00617370">
        <w:t>McMillan</w:t>
      </w:r>
      <w:r w:rsidR="001C56E7" w:rsidRPr="00617370">
        <w:t xml:space="preserve"> </w:t>
      </w:r>
      <w:r w:rsidR="0030687B" w:rsidRPr="00617370">
        <w:t>&amp;</w:t>
      </w:r>
      <w:r w:rsidR="001C56E7" w:rsidRPr="00617370">
        <w:t xml:space="preserve"> </w:t>
      </w:r>
      <w:r w:rsidR="005C17A8" w:rsidRPr="00617370">
        <w:t xml:space="preserve">Hillman </w:t>
      </w:r>
      <w:r w:rsidR="001C56E7" w:rsidRPr="00617370">
        <w:t>2001</w:t>
      </w:r>
      <w:r w:rsidR="00CE21B0" w:rsidRPr="00617370">
        <w:t xml:space="preserve">). </w:t>
      </w:r>
      <w:r w:rsidR="001B7DC9" w:rsidRPr="00617370">
        <w:t>Several of these studies also showed</w:t>
      </w:r>
      <w:r w:rsidR="002831CE" w:rsidRPr="00617370">
        <w:t xml:space="preserve"> </w:t>
      </w:r>
      <w:r w:rsidR="005C3F11" w:rsidRPr="00617370">
        <w:t>when controlling for academic achievement</w:t>
      </w:r>
      <w:r w:rsidR="0061429D" w:rsidRPr="00617370">
        <w:t>,</w:t>
      </w:r>
      <w:r w:rsidR="001B7DC9" w:rsidRPr="00617370">
        <w:t xml:space="preserve"> </w:t>
      </w:r>
      <w:r w:rsidR="005C3F11" w:rsidRPr="00617370">
        <w:t>the effect of socioeconomic background</w:t>
      </w:r>
      <w:r w:rsidR="004C46E1" w:rsidRPr="00617370">
        <w:t>,</w:t>
      </w:r>
      <w:r w:rsidR="005C3F11" w:rsidRPr="00617370">
        <w:t xml:space="preserve"> while not completely eliminated, was significantly diminished</w:t>
      </w:r>
      <w:r w:rsidR="00F01B8D" w:rsidRPr="00617370">
        <w:t xml:space="preserve"> (</w:t>
      </w:r>
      <w:r w:rsidR="00F4655F" w:rsidRPr="00617370">
        <w:t>Cardak &amp; Ryan 20</w:t>
      </w:r>
      <w:r w:rsidR="00D229E9" w:rsidRPr="00617370">
        <w:t xml:space="preserve">09; </w:t>
      </w:r>
      <w:r w:rsidR="00D6384E" w:rsidRPr="00617370">
        <w:t xml:space="preserve">Marks 2010; </w:t>
      </w:r>
      <w:r w:rsidR="00F01B8D" w:rsidRPr="00617370">
        <w:t>Marks 2019; Marks, Hillman and McMillan 2001)</w:t>
      </w:r>
      <w:r w:rsidR="004121F0" w:rsidRPr="00617370">
        <w:t xml:space="preserve"> suggesting socioeconomic background has only a moderate relationship with tertiary entrance performance. </w:t>
      </w:r>
    </w:p>
    <w:p w14:paraId="46AEF545" w14:textId="5868F73B" w:rsidR="005C3F11" w:rsidRPr="00617370" w:rsidRDefault="005C3F11" w:rsidP="005C3F11">
      <w:pPr>
        <w:pStyle w:val="Text"/>
      </w:pPr>
      <w:r w:rsidRPr="00617370">
        <w:t xml:space="preserve">Other important </w:t>
      </w:r>
      <w:r w:rsidR="00AA53E3" w:rsidRPr="00617370">
        <w:t>characteristics associated</w:t>
      </w:r>
      <w:r w:rsidR="00C47C82" w:rsidRPr="00617370">
        <w:t xml:space="preserve"> with</w:t>
      </w:r>
      <w:r w:rsidR="00AA53E3" w:rsidRPr="00617370">
        <w:t xml:space="preserve"> tertiary entrance </w:t>
      </w:r>
      <w:r w:rsidR="00C47C82" w:rsidRPr="00617370">
        <w:t xml:space="preserve">performance </w:t>
      </w:r>
      <w:r w:rsidRPr="00617370">
        <w:t>not accounted for by prior educational achievement or socioeconomic status include gender, language background, indigeneity and region. Being female had only a moderately positive effect on tertiary entrance scores, as did coming from a metropolitan area. In contrast, students with an Asian language background had significantly higher scores than their peers, while Indigenous students’ tertiary entrance scores were substantially lower than non-Indigenous students</w:t>
      </w:r>
      <w:r w:rsidR="005F1A0F" w:rsidRPr="00617370">
        <w:t xml:space="preserve"> (Marks, </w:t>
      </w:r>
      <w:r w:rsidR="004E43D9" w:rsidRPr="00617370">
        <w:t xml:space="preserve">McMillan &amp; </w:t>
      </w:r>
      <w:r w:rsidR="005F1A0F" w:rsidRPr="00617370">
        <w:t>Hillman 2001)</w:t>
      </w:r>
      <w:r w:rsidR="00753E4C" w:rsidRPr="00617370">
        <w:t>.</w:t>
      </w:r>
    </w:p>
    <w:p w14:paraId="7A95E166" w14:textId="1E35355D" w:rsidR="00A46EDE" w:rsidRPr="00617370" w:rsidRDefault="0050778C" w:rsidP="0073510D">
      <w:pPr>
        <w:pStyle w:val="Text"/>
        <w:rPr>
          <w:color w:val="7030A0"/>
        </w:rPr>
      </w:pPr>
      <w:bookmarkStart w:id="38" w:name="_Hlk172617753"/>
      <w:r w:rsidRPr="00617370">
        <w:t xml:space="preserve">Representing one of </w:t>
      </w:r>
      <w:r w:rsidR="00131F5C" w:rsidRPr="00617370">
        <w:t xml:space="preserve">the </w:t>
      </w:r>
      <w:r w:rsidRPr="00617370">
        <w:t xml:space="preserve">few studies investigating the link between NAPLAN </w:t>
      </w:r>
      <w:r w:rsidR="00A236B4" w:rsidRPr="00617370">
        <w:t xml:space="preserve">achievement </w:t>
      </w:r>
      <w:r w:rsidRPr="00617370">
        <w:t>and</w:t>
      </w:r>
      <w:r w:rsidR="002E2A25" w:rsidRPr="00617370">
        <w:t xml:space="preserve"> access to higher education</w:t>
      </w:r>
      <w:r w:rsidRPr="00617370">
        <w:t xml:space="preserve">, Houng </w:t>
      </w:r>
      <w:r w:rsidR="004E43D9" w:rsidRPr="00617370">
        <w:t>and</w:t>
      </w:r>
      <w:r w:rsidRPr="00617370">
        <w:t xml:space="preserve"> Justman (201</w:t>
      </w:r>
      <w:r w:rsidR="003D1457" w:rsidRPr="00617370">
        <w:t>4</w:t>
      </w:r>
      <w:r w:rsidRPr="00617370">
        <w:t xml:space="preserve">) </w:t>
      </w:r>
      <w:r w:rsidR="0002697B" w:rsidRPr="00617370">
        <w:t xml:space="preserve">also </w:t>
      </w:r>
      <w:r w:rsidR="00AF67BD" w:rsidRPr="00617370">
        <w:t xml:space="preserve">demonstrate </w:t>
      </w:r>
      <w:r w:rsidR="004E43D9" w:rsidRPr="00617370">
        <w:t xml:space="preserve">that </w:t>
      </w:r>
      <w:r w:rsidR="00394A23" w:rsidRPr="00617370">
        <w:t xml:space="preserve">academic achievement </w:t>
      </w:r>
      <w:r w:rsidR="002E1F73" w:rsidRPr="00617370">
        <w:t xml:space="preserve">is </w:t>
      </w:r>
      <w:r w:rsidRPr="00617370">
        <w:t>a powerful predictor of university entrance</w:t>
      </w:r>
      <w:r w:rsidR="001B4648" w:rsidRPr="00617370">
        <w:t xml:space="preserve"> scores</w:t>
      </w:r>
      <w:r w:rsidRPr="00617370">
        <w:t xml:space="preserve">. </w:t>
      </w:r>
      <w:r w:rsidR="00A3456B" w:rsidRPr="00617370">
        <w:t>When</w:t>
      </w:r>
      <w:r w:rsidRPr="00617370">
        <w:t xml:space="preserve"> analysing the combined effect of </w:t>
      </w:r>
      <w:r w:rsidR="000F4D78" w:rsidRPr="00617370">
        <w:t xml:space="preserve">NAPLAN </w:t>
      </w:r>
      <w:r w:rsidRPr="00617370">
        <w:t>test scores and socioeconomic</w:t>
      </w:r>
      <w:r w:rsidR="00C7283D" w:rsidRPr="00617370">
        <w:t xml:space="preserve"> status</w:t>
      </w:r>
      <w:r w:rsidRPr="00617370">
        <w:t xml:space="preserve">, </w:t>
      </w:r>
      <w:r w:rsidR="0087359C" w:rsidRPr="00617370">
        <w:t xml:space="preserve">while </w:t>
      </w:r>
      <w:r w:rsidR="00F1182E" w:rsidRPr="00617370">
        <w:t xml:space="preserve">the authors found </w:t>
      </w:r>
      <w:r w:rsidRPr="00617370">
        <w:t>both were found to be important</w:t>
      </w:r>
      <w:r w:rsidR="00D364F3" w:rsidRPr="00617370">
        <w:t>,</w:t>
      </w:r>
      <w:r w:rsidR="00A3456B" w:rsidRPr="00617370">
        <w:t xml:space="preserve"> </w:t>
      </w:r>
      <w:r w:rsidRPr="00617370">
        <w:t xml:space="preserve">the effect of </w:t>
      </w:r>
      <w:r w:rsidR="00937E38" w:rsidRPr="00617370">
        <w:t xml:space="preserve">academic achievement </w:t>
      </w:r>
      <w:r w:rsidRPr="00617370">
        <w:t xml:space="preserve">was far stronger. </w:t>
      </w:r>
      <w:r w:rsidR="00EE0ADA" w:rsidRPr="00617370">
        <w:t>In their study e</w:t>
      </w:r>
      <w:r w:rsidR="001D4672" w:rsidRPr="00617370">
        <w:t xml:space="preserve">xamining </w:t>
      </w:r>
      <w:r w:rsidRPr="00617370">
        <w:t xml:space="preserve">the interaction between NAPLAN </w:t>
      </w:r>
      <w:r w:rsidR="00937E38" w:rsidRPr="00617370">
        <w:t xml:space="preserve">scores </w:t>
      </w:r>
      <w:r w:rsidRPr="00617370">
        <w:t>and socioeconomic status</w:t>
      </w:r>
      <w:r w:rsidR="001D4672" w:rsidRPr="00617370">
        <w:t xml:space="preserve">, </w:t>
      </w:r>
      <w:r w:rsidR="00D914BA" w:rsidRPr="00617370">
        <w:t xml:space="preserve">Houng </w:t>
      </w:r>
      <w:r w:rsidR="00A3456B" w:rsidRPr="00617370">
        <w:t>and</w:t>
      </w:r>
      <w:r w:rsidR="00D914BA" w:rsidRPr="00617370">
        <w:t xml:space="preserve"> Justman </w:t>
      </w:r>
      <w:r w:rsidR="00392ABB" w:rsidRPr="00617370">
        <w:t xml:space="preserve">(2015) </w:t>
      </w:r>
      <w:r w:rsidR="00122B3F" w:rsidRPr="00617370">
        <w:t xml:space="preserve">found </w:t>
      </w:r>
      <w:r w:rsidR="00EE0ADA" w:rsidRPr="00617370">
        <w:t xml:space="preserve">that </w:t>
      </w:r>
      <w:r w:rsidR="00122B3F" w:rsidRPr="00617370">
        <w:t>the</w:t>
      </w:r>
      <w:r w:rsidR="004E1CDB" w:rsidRPr="00617370">
        <w:t xml:space="preserve"> influence of </w:t>
      </w:r>
      <w:r w:rsidRPr="00617370">
        <w:t xml:space="preserve">family background </w:t>
      </w:r>
      <w:r w:rsidR="004E1CDB" w:rsidRPr="00617370">
        <w:t xml:space="preserve">on </w:t>
      </w:r>
      <w:r w:rsidR="00C809C6" w:rsidRPr="00617370">
        <w:t xml:space="preserve">tertiary entrance </w:t>
      </w:r>
      <w:r w:rsidRPr="00617370">
        <w:t xml:space="preserve">scores </w:t>
      </w:r>
      <w:r w:rsidR="004E1CDB" w:rsidRPr="00617370">
        <w:t xml:space="preserve">was </w:t>
      </w:r>
      <w:r w:rsidR="00627055" w:rsidRPr="00617370">
        <w:t xml:space="preserve">reduced </w:t>
      </w:r>
      <w:r w:rsidRPr="00617370">
        <w:t>for students at the upper or lower ends of the achievement scale</w:t>
      </w:r>
      <w:r w:rsidR="00925F95" w:rsidRPr="00617370">
        <w:t xml:space="preserve">. However, </w:t>
      </w:r>
      <w:r w:rsidRPr="00617370">
        <w:t xml:space="preserve">for those with </w:t>
      </w:r>
      <w:r w:rsidR="003D785F" w:rsidRPr="00617370">
        <w:t xml:space="preserve">NAPLAN </w:t>
      </w:r>
      <w:r w:rsidRPr="00617370">
        <w:t>scores centred around the middle bands</w:t>
      </w:r>
      <w:r w:rsidR="00717911" w:rsidRPr="00617370">
        <w:t xml:space="preserve">, </w:t>
      </w:r>
      <w:r w:rsidR="00100003" w:rsidRPr="00617370">
        <w:t xml:space="preserve">the effect of </w:t>
      </w:r>
      <w:r w:rsidR="003D785F" w:rsidRPr="00617370">
        <w:t xml:space="preserve">socioeconomic background </w:t>
      </w:r>
      <w:r w:rsidR="00AA26A4" w:rsidRPr="00617370">
        <w:t xml:space="preserve">was more pronounced. </w:t>
      </w:r>
    </w:p>
    <w:bookmarkEnd w:id="38"/>
    <w:p w14:paraId="7011C86D" w14:textId="07C8B8F6" w:rsidR="007E4117" w:rsidRPr="00617370" w:rsidRDefault="00974E67" w:rsidP="00327B44">
      <w:pPr>
        <w:pStyle w:val="Text"/>
      </w:pPr>
      <w:r w:rsidRPr="00617370">
        <w:t>Prior academic achievement ha</w:t>
      </w:r>
      <w:r w:rsidR="00584CB7" w:rsidRPr="00617370">
        <w:t>s</w:t>
      </w:r>
      <w:r w:rsidRPr="00617370">
        <w:t xml:space="preserve"> also been shown to predict the likelihood of university participation and completion (</w:t>
      </w:r>
      <w:r w:rsidR="00544A57" w:rsidRPr="00617370">
        <w:t>Cherastidtham &amp; Norton</w:t>
      </w:r>
      <w:r w:rsidR="005207C7" w:rsidRPr="00617370">
        <w:t xml:space="preserve"> 2018</w:t>
      </w:r>
      <w:r w:rsidR="00544A57" w:rsidRPr="00617370">
        <w:t xml:space="preserve">; </w:t>
      </w:r>
      <w:r w:rsidRPr="00617370">
        <w:t>Chesters 2019</w:t>
      </w:r>
      <w:r w:rsidR="00AA20E1" w:rsidRPr="00617370">
        <w:t>;</w:t>
      </w:r>
      <w:r w:rsidRPr="00617370">
        <w:t xml:space="preserve"> </w:t>
      </w:r>
      <w:r w:rsidR="00925F95" w:rsidRPr="00617370">
        <w:t xml:space="preserve">Le &amp; Miller 2005; </w:t>
      </w:r>
      <w:r w:rsidRPr="00617370">
        <w:t>Lim 2015</w:t>
      </w:r>
      <w:r w:rsidR="00AA20E1" w:rsidRPr="00617370">
        <w:t>;</w:t>
      </w:r>
      <w:r w:rsidRPr="00617370">
        <w:t xml:space="preserve"> Marks 2019</w:t>
      </w:r>
      <w:r w:rsidR="00AA20E1" w:rsidRPr="00617370">
        <w:t>;</w:t>
      </w:r>
      <w:r w:rsidRPr="00617370">
        <w:t xml:space="preserve"> Piacentini &amp; Pacileo 2019</w:t>
      </w:r>
      <w:r w:rsidR="00AA20E1" w:rsidRPr="00617370">
        <w:t>;</w:t>
      </w:r>
      <w:r w:rsidRPr="00617370">
        <w:t xml:space="preserve"> Productivity Commission 2019).</w:t>
      </w:r>
      <w:r w:rsidR="000B377A" w:rsidRPr="00617370">
        <w:t xml:space="preserve"> </w:t>
      </w:r>
      <w:r w:rsidR="009F4F5F" w:rsidRPr="00617370">
        <w:t>T</w:t>
      </w:r>
      <w:r w:rsidRPr="00617370">
        <w:t xml:space="preserve">hose with </w:t>
      </w:r>
      <w:r w:rsidR="006E2E54" w:rsidRPr="00617370">
        <w:t xml:space="preserve">higher levels of academic achievement and high socioeconomic </w:t>
      </w:r>
      <w:r w:rsidR="002C1E7B" w:rsidRPr="00617370">
        <w:t xml:space="preserve">status </w:t>
      </w:r>
      <w:r w:rsidR="00AA26A4" w:rsidRPr="00617370">
        <w:t xml:space="preserve">are </w:t>
      </w:r>
      <w:r w:rsidR="006E2E54" w:rsidRPr="00617370">
        <w:t>more likely to undertake university</w:t>
      </w:r>
      <w:r w:rsidR="00A732E8" w:rsidRPr="00617370">
        <w:t xml:space="preserve"> (Chesters 2019; Chesters &amp; Cuervo</w:t>
      </w:r>
      <w:r w:rsidR="002C1E7B" w:rsidRPr="00617370">
        <w:t xml:space="preserve"> 2022</w:t>
      </w:r>
      <w:r w:rsidR="00A732E8" w:rsidRPr="00617370">
        <w:t xml:space="preserve">; Le &amp; Miller 2005; Lim 2015; Marks, </w:t>
      </w:r>
      <w:r w:rsidR="00530B33" w:rsidRPr="00617370">
        <w:t xml:space="preserve">McMillan &amp; </w:t>
      </w:r>
      <w:r w:rsidR="00A732E8" w:rsidRPr="00617370">
        <w:t>Hillman)</w:t>
      </w:r>
      <w:r w:rsidR="006E2E54" w:rsidRPr="00617370">
        <w:t>. This was also true for females, those with a language background</w:t>
      </w:r>
      <w:r w:rsidR="002408A2" w:rsidRPr="00617370">
        <w:t xml:space="preserve"> other than English</w:t>
      </w:r>
      <w:r w:rsidR="006E2E54" w:rsidRPr="00617370">
        <w:t>, non-Indigenous students and, to a lesser extent, those from metropolitan areas</w:t>
      </w:r>
      <w:r w:rsidRPr="00617370">
        <w:t xml:space="preserve">. </w:t>
      </w:r>
      <w:r w:rsidR="007E4117" w:rsidRPr="00617370">
        <w:t>With regards to university completions, the importance of these individual characteristics persisted when controlling for academic achievement</w:t>
      </w:r>
      <w:r w:rsidR="00EA4057" w:rsidRPr="00617370">
        <w:t xml:space="preserve"> (</w:t>
      </w:r>
      <w:r w:rsidR="00484C8F" w:rsidRPr="00617370">
        <w:t xml:space="preserve">Cardak &amp; Vecci 2013; </w:t>
      </w:r>
      <w:r w:rsidR="005723B9" w:rsidRPr="00617370">
        <w:t xml:space="preserve">Cherastidtham &amp; Norton 2018; </w:t>
      </w:r>
      <w:r w:rsidR="00EA4057" w:rsidRPr="00617370">
        <w:t>Lim 2015</w:t>
      </w:r>
      <w:r w:rsidR="00CF7B06" w:rsidRPr="00617370">
        <w:t>;</w:t>
      </w:r>
      <w:r w:rsidR="007A77CF" w:rsidRPr="00617370">
        <w:t xml:space="preserve"> Marks 2007</w:t>
      </w:r>
      <w:r w:rsidR="00CF7B06" w:rsidRPr="00617370">
        <w:t>; McMillan 2005</w:t>
      </w:r>
      <w:r w:rsidR="00EA4057" w:rsidRPr="00617370">
        <w:t>)</w:t>
      </w:r>
      <w:r w:rsidR="007E4117" w:rsidRPr="00617370">
        <w:t xml:space="preserve">. When exploring the combined effect of socioeconomic status and these background characteristics on university completion, Lim </w:t>
      </w:r>
      <w:r w:rsidR="006D0EFE" w:rsidRPr="00617370">
        <w:t xml:space="preserve">(2015) </w:t>
      </w:r>
      <w:r w:rsidR="007E4117" w:rsidRPr="00617370">
        <w:t>show</w:t>
      </w:r>
      <w:r w:rsidR="00CB4DAF" w:rsidRPr="00617370">
        <w:t>ed</w:t>
      </w:r>
      <w:r w:rsidR="007E4117" w:rsidRPr="00617370">
        <w:t xml:space="preserve"> that less </w:t>
      </w:r>
      <w:r w:rsidR="007E4117" w:rsidRPr="00617370">
        <w:lastRenderedPageBreak/>
        <w:t>academically inclined students were further disadvantaged if they came from a low socioeconomic status</w:t>
      </w:r>
      <w:r w:rsidR="00236FDC" w:rsidRPr="00617370">
        <w:t xml:space="preserve"> background</w:t>
      </w:r>
      <w:r w:rsidR="007E4117" w:rsidRPr="00617370">
        <w:t xml:space="preserve">, while the effect of low socioeconomic status was moderated for those with higher levels of academic performance. </w:t>
      </w:r>
    </w:p>
    <w:p w14:paraId="0EC4A5CE" w14:textId="02B77D89" w:rsidR="007E4117" w:rsidRPr="00617370" w:rsidRDefault="007E4117" w:rsidP="007E4117">
      <w:pPr>
        <w:pStyle w:val="Text"/>
        <w:rPr>
          <w:color w:val="0000FF"/>
        </w:rPr>
      </w:pPr>
      <w:r w:rsidRPr="00617370">
        <w:t>Marks (2019) however argue</w:t>
      </w:r>
      <w:r w:rsidR="00C07C1B" w:rsidRPr="00617370">
        <w:t>d</w:t>
      </w:r>
      <w:r w:rsidRPr="00617370">
        <w:t xml:space="preserve"> that socioeconomic status is not an important predictor of university entry or completion, having only a small effect on participation and no effect on completion when prior academic achievement is </w:t>
      </w:r>
      <w:r w:rsidR="00236FDC" w:rsidRPr="00617370">
        <w:t>taken into account</w:t>
      </w:r>
      <w:r w:rsidRPr="00617370">
        <w:t>. He argues</w:t>
      </w:r>
      <w:r w:rsidR="00236FDC" w:rsidRPr="00617370">
        <w:t xml:space="preserve"> that</w:t>
      </w:r>
      <w:r w:rsidRPr="00617370">
        <w:t xml:space="preserve"> </w:t>
      </w:r>
      <w:r w:rsidR="00A94D91" w:rsidRPr="00617370">
        <w:t>‘</w:t>
      </w:r>
      <w:r w:rsidRPr="00617370">
        <w:t>differences in the university career by region, family type, Indigenous status, and school sector can be simply attributed to differences in university entrance performance (ATAR)</w:t>
      </w:r>
      <w:r w:rsidR="00A94D91" w:rsidRPr="00617370">
        <w:t>’</w:t>
      </w:r>
      <w:r w:rsidR="1DFA7BCA" w:rsidRPr="00617370">
        <w:t xml:space="preserve"> (</w:t>
      </w:r>
      <w:r w:rsidR="00551CCB" w:rsidRPr="00617370">
        <w:t>p.375)</w:t>
      </w:r>
      <w:r w:rsidRPr="00617370">
        <w:t xml:space="preserve">. Cardak and Ryan (2009) </w:t>
      </w:r>
      <w:r w:rsidR="00CE049A" w:rsidRPr="00617370">
        <w:t xml:space="preserve">also </w:t>
      </w:r>
      <w:r w:rsidRPr="00617370">
        <w:t xml:space="preserve">found that, when controlling for academic achievement using university entrance scores, university participation was similar for disadvantaged students when compared </w:t>
      </w:r>
      <w:r w:rsidR="00236FDC" w:rsidRPr="00617370">
        <w:t>with</w:t>
      </w:r>
      <w:r w:rsidRPr="00617370">
        <w:t xml:space="preserve"> those without disadvantage. </w:t>
      </w:r>
    </w:p>
    <w:p w14:paraId="67512DE4" w14:textId="00A126B9" w:rsidR="00165F3C" w:rsidRPr="00617370" w:rsidRDefault="00165F3C" w:rsidP="00165F3C">
      <w:pPr>
        <w:pStyle w:val="Text"/>
        <w:rPr>
          <w:color w:val="008000"/>
        </w:rPr>
      </w:pPr>
      <w:r w:rsidRPr="00617370">
        <w:t xml:space="preserve">This phenomenon has also been observed in other countries. </w:t>
      </w:r>
      <w:r w:rsidR="006966D1" w:rsidRPr="00617370">
        <w:t>W</w:t>
      </w:r>
      <w:r w:rsidR="00665BD8" w:rsidRPr="00617370">
        <w:t>hile there persists a gap in university participation across socioeconomic groups</w:t>
      </w:r>
      <w:r w:rsidR="00CC2987" w:rsidRPr="00617370">
        <w:t>,</w:t>
      </w:r>
      <w:r w:rsidR="00665BD8" w:rsidRPr="00617370">
        <w:t xml:space="preserve"> these differences can largely be attributed to differences in academic achievement</w:t>
      </w:r>
      <w:r w:rsidR="00A82AA3" w:rsidRPr="00617370">
        <w:t xml:space="preserve"> for disadvantaged students in England, Canada and the US </w:t>
      </w:r>
      <w:r w:rsidR="002278AF" w:rsidRPr="00617370">
        <w:t>(Jerrim</w:t>
      </w:r>
      <w:r w:rsidR="005B299B" w:rsidRPr="00617370">
        <w:t xml:space="preserve"> </w:t>
      </w:r>
      <w:r w:rsidR="005F29E7" w:rsidRPr="00617370">
        <w:t>&amp;</w:t>
      </w:r>
      <w:r w:rsidR="00B706C8" w:rsidRPr="00617370">
        <w:t xml:space="preserve"> </w:t>
      </w:r>
      <w:r w:rsidR="002278AF" w:rsidRPr="00617370">
        <w:t>Vignoles 2015)</w:t>
      </w:r>
      <w:r w:rsidR="00665BD8" w:rsidRPr="00617370">
        <w:t>.</w:t>
      </w:r>
      <w:r w:rsidR="00665BD8" w:rsidRPr="00617370">
        <w:rPr>
          <w:color w:val="008000"/>
        </w:rPr>
        <w:t xml:space="preserve"> </w:t>
      </w:r>
      <w:r w:rsidR="00B706C8" w:rsidRPr="00617370">
        <w:t>P</w:t>
      </w:r>
      <w:r w:rsidRPr="00617370">
        <w:t xml:space="preserve">rior academic achievement </w:t>
      </w:r>
      <w:r w:rsidR="003919AB" w:rsidRPr="00617370">
        <w:t xml:space="preserve">was also found to </w:t>
      </w:r>
      <w:r w:rsidRPr="00617370">
        <w:t>substantially reduce differences in tertiary education participation rates for both private and public school students in England</w:t>
      </w:r>
      <w:r w:rsidR="003919AB" w:rsidRPr="00617370">
        <w:t xml:space="preserve"> (Chowdry et al. 2012).</w:t>
      </w:r>
    </w:p>
    <w:p w14:paraId="29198BDB" w14:textId="77777777" w:rsidR="007E4117" w:rsidRPr="00617370" w:rsidRDefault="007E4117" w:rsidP="007E4117">
      <w:pPr>
        <w:pStyle w:val="Heading3"/>
      </w:pPr>
      <w:r w:rsidRPr="00617370">
        <w:t>School effects</w:t>
      </w:r>
    </w:p>
    <w:p w14:paraId="541716FE" w14:textId="3B85CA6E" w:rsidR="007E4117" w:rsidRPr="00617370" w:rsidRDefault="007E4117" w:rsidP="007E4117">
      <w:pPr>
        <w:pStyle w:val="Text"/>
      </w:pPr>
      <w:r w:rsidRPr="00617370">
        <w:t>Attending an independent or Catholic school rather than a government school has been shown to lead to higher levels of educational attainment</w:t>
      </w:r>
      <w:r w:rsidR="005F29E7" w:rsidRPr="00617370">
        <w:t>,</w:t>
      </w:r>
      <w:r w:rsidRPr="00617370">
        <w:t xml:space="preserve"> as measured by years of schooling, </w:t>
      </w:r>
      <w:r w:rsidR="00D23350" w:rsidRPr="00617370">
        <w:t>Year 12</w:t>
      </w:r>
      <w:r w:rsidRPr="00617370">
        <w:t xml:space="preserve"> results and completion, university entrance scores and university commencement (Dean et al. 2023, Le &amp; Miller 2002; Lim 2015; Marks 2019; Marks, </w:t>
      </w:r>
      <w:r w:rsidR="00602662" w:rsidRPr="00617370">
        <w:t xml:space="preserve">McMillan &amp; </w:t>
      </w:r>
      <w:r w:rsidRPr="00617370">
        <w:t>Hillman</w:t>
      </w:r>
      <w:r w:rsidR="00602662" w:rsidRPr="00617370">
        <w:t xml:space="preserve"> </w:t>
      </w:r>
      <w:r w:rsidRPr="00617370">
        <w:t xml:space="preserve">2001). However, when controlling for factors such as socioeconomic status, </w:t>
      </w:r>
      <w:r w:rsidR="0E3AA85B" w:rsidRPr="00617370">
        <w:t xml:space="preserve">prior </w:t>
      </w:r>
      <w:r w:rsidRPr="00617370">
        <w:t>academic achievement and a student’s sex, studies have also shown no association between school sector and the likelihood of commencing or completing university (</w:t>
      </w:r>
      <w:r w:rsidR="00B810C3" w:rsidRPr="00617370">
        <w:t xml:space="preserve">Cardak &amp; </w:t>
      </w:r>
      <w:r w:rsidR="00C80A37" w:rsidRPr="00617370">
        <w:t>Ryan 200</w:t>
      </w:r>
      <w:r w:rsidR="00C005DF" w:rsidRPr="00617370">
        <w:t>9</w:t>
      </w:r>
      <w:r w:rsidR="00C80A37" w:rsidRPr="00617370">
        <w:t xml:space="preserve">; </w:t>
      </w:r>
      <w:r w:rsidR="00272D25" w:rsidRPr="00617370">
        <w:t xml:space="preserve">Cardak &amp; </w:t>
      </w:r>
      <w:r w:rsidR="00536482" w:rsidRPr="00617370">
        <w:t xml:space="preserve">Vecci 2013; </w:t>
      </w:r>
      <w:r w:rsidRPr="00617370">
        <w:t xml:space="preserve">Chesters 2019; </w:t>
      </w:r>
      <w:r w:rsidR="00716E28" w:rsidRPr="00617370">
        <w:t xml:space="preserve">Marks 2007; </w:t>
      </w:r>
      <w:r w:rsidR="00563D22" w:rsidRPr="00617370">
        <w:t>McMillan 2005</w:t>
      </w:r>
      <w:r w:rsidRPr="00617370">
        <w:t xml:space="preserve">). </w:t>
      </w:r>
    </w:p>
    <w:p w14:paraId="052F0348" w14:textId="0FD67916" w:rsidR="007E4117" w:rsidRPr="00617370" w:rsidRDefault="00874241" w:rsidP="007E4117">
      <w:pPr>
        <w:pStyle w:val="Text"/>
        <w:rPr>
          <w:lang w:val="en-US"/>
        </w:rPr>
      </w:pPr>
      <w:r w:rsidRPr="00617370">
        <w:t xml:space="preserve">Several </w:t>
      </w:r>
      <w:r w:rsidR="007E4117" w:rsidRPr="00617370">
        <w:t xml:space="preserve">studies </w:t>
      </w:r>
      <w:r w:rsidR="003C71C8" w:rsidRPr="00617370">
        <w:t>demonstrate that</w:t>
      </w:r>
      <w:r w:rsidR="007E4117" w:rsidRPr="00617370">
        <w:t xml:space="preserve"> schools have only a small effect on student performance when compared with individual characteristics (Dean et al. 2023; Gemici,</w:t>
      </w:r>
      <w:r w:rsidR="00195256" w:rsidRPr="00617370">
        <w:t xml:space="preserve"> Lim &amp; Karmel 2013;</w:t>
      </w:r>
      <w:r w:rsidR="007E4117" w:rsidRPr="00617370">
        <w:t xml:space="preserve"> Jerrim &amp; Vignoles 2015; </w:t>
      </w:r>
      <w:r w:rsidR="007E4117" w:rsidRPr="00617370" w:rsidDel="00FE2B55">
        <w:t xml:space="preserve">Lim </w:t>
      </w:r>
      <w:r w:rsidR="007E4117" w:rsidRPr="00617370">
        <w:t xml:space="preserve">2015; Marks 2010). </w:t>
      </w:r>
      <w:r w:rsidR="007E4117" w:rsidRPr="00617370">
        <w:rPr>
          <w:lang w:val="en-US"/>
        </w:rPr>
        <w:t>Gemici</w:t>
      </w:r>
      <w:r w:rsidR="000B1A76" w:rsidRPr="00617370">
        <w:rPr>
          <w:lang w:val="en-US"/>
        </w:rPr>
        <w:t xml:space="preserve">, </w:t>
      </w:r>
      <w:r w:rsidR="00A2689B" w:rsidRPr="00617370">
        <w:rPr>
          <w:lang w:val="en-US"/>
        </w:rPr>
        <w:t xml:space="preserve">Lim and Karmel </w:t>
      </w:r>
      <w:r w:rsidR="007E4117" w:rsidRPr="00617370">
        <w:rPr>
          <w:lang w:val="en-US"/>
        </w:rPr>
        <w:t xml:space="preserve">(2013) found that individual </w:t>
      </w:r>
      <w:r w:rsidR="007E4117" w:rsidRPr="00617370">
        <w:t xml:space="preserve">characteristics played a dominant role in influencing tertiary entrance scores and university enrolment. Nevertheless, school characteristics </w:t>
      </w:r>
      <w:r w:rsidR="00D717E6" w:rsidRPr="00617370">
        <w:t xml:space="preserve">explained </w:t>
      </w:r>
      <w:r w:rsidR="007E4117" w:rsidRPr="00617370">
        <w:t xml:space="preserve">about 20% of the variation in </w:t>
      </w:r>
      <w:r w:rsidR="00D717E6" w:rsidRPr="00617370">
        <w:t xml:space="preserve">ATAR </w:t>
      </w:r>
      <w:r w:rsidR="007E4117" w:rsidRPr="00617370">
        <w:t xml:space="preserve">scores. </w:t>
      </w:r>
      <w:r w:rsidR="007E4117" w:rsidRPr="00617370">
        <w:rPr>
          <w:lang w:val="en-US"/>
        </w:rPr>
        <w:t xml:space="preserve">School sector, gender mix and the academic orientation of the school were found to be the most important </w:t>
      </w:r>
      <w:r w:rsidR="6827B875" w:rsidRPr="00617370">
        <w:rPr>
          <w:lang w:val="en-US"/>
        </w:rPr>
        <w:t>school</w:t>
      </w:r>
      <w:r w:rsidR="007E4117" w:rsidRPr="00617370">
        <w:rPr>
          <w:lang w:val="en-US"/>
        </w:rPr>
        <w:t xml:space="preserve"> characteristics, while </w:t>
      </w:r>
      <w:r w:rsidR="005717DC" w:rsidRPr="00617370">
        <w:rPr>
          <w:lang w:val="en-US"/>
        </w:rPr>
        <w:t>the socioeconomic</w:t>
      </w:r>
      <w:r w:rsidR="007E4117" w:rsidRPr="00617370">
        <w:rPr>
          <w:lang w:val="en-US"/>
        </w:rPr>
        <w:t xml:space="preserve"> status of the school was not significant</w:t>
      </w:r>
      <w:r w:rsidR="000E349F" w:rsidRPr="00617370">
        <w:rPr>
          <w:lang w:val="en-US"/>
        </w:rPr>
        <w:t>.</w:t>
      </w:r>
      <w:r w:rsidR="007E4117" w:rsidRPr="00617370">
        <w:rPr>
          <w:lang w:val="en-US"/>
        </w:rPr>
        <w:t xml:space="preserve"> </w:t>
      </w:r>
    </w:p>
    <w:p w14:paraId="31CF6CAB" w14:textId="19B0BA5E" w:rsidR="007E4117" w:rsidRPr="00617370" w:rsidRDefault="0089269D" w:rsidP="007E4117">
      <w:pPr>
        <w:pStyle w:val="Text"/>
      </w:pPr>
      <w:r w:rsidRPr="00617370">
        <w:t>Marks</w:t>
      </w:r>
      <w:r w:rsidR="007E4117" w:rsidRPr="00617370">
        <w:t xml:space="preserve"> (2010) use</w:t>
      </w:r>
      <w:r w:rsidR="7C8C4B36" w:rsidRPr="00617370">
        <w:t>d</w:t>
      </w:r>
      <w:r w:rsidR="007E4117" w:rsidRPr="00617370">
        <w:t xml:space="preserve"> </w:t>
      </w:r>
      <w:r w:rsidR="00AF0B5B" w:rsidRPr="00617370">
        <w:t>14</w:t>
      </w:r>
      <w:r w:rsidR="007E4117" w:rsidRPr="00617370">
        <w:t xml:space="preserve"> different school-based measures alongside student-level measures to explore their combined effect on university entrance scores. Of the extensive list of school-level measures analysed, only the school’s average academic achievement and academic orientation (</w:t>
      </w:r>
      <w:r w:rsidR="00AF0B5B" w:rsidRPr="00617370">
        <w:t>that is,</w:t>
      </w:r>
      <w:r w:rsidR="007E4117" w:rsidRPr="00617370">
        <w:t xml:space="preserve"> pressure for students to do well) had a large effect on </w:t>
      </w:r>
      <w:r w:rsidR="00357D46" w:rsidRPr="00617370">
        <w:t>tertiary</w:t>
      </w:r>
      <w:r w:rsidR="00FF4C40" w:rsidRPr="00617370">
        <w:t xml:space="preserve"> entrance scores</w:t>
      </w:r>
      <w:r w:rsidR="007E4117" w:rsidRPr="00617370">
        <w:t>, while teacher resources (</w:t>
      </w:r>
      <w:r w:rsidR="007B1049" w:rsidRPr="00617370">
        <w:t xml:space="preserve">that is, </w:t>
      </w:r>
      <w:r w:rsidR="007E4117" w:rsidRPr="00617370">
        <w:t xml:space="preserve">availability of qualified teachers and teacher ability) were found to be moderate. Similar to </w:t>
      </w:r>
      <w:r w:rsidR="00CD3F72" w:rsidRPr="00617370">
        <w:t>the study by Gemici</w:t>
      </w:r>
      <w:r w:rsidR="007B1049" w:rsidRPr="00617370">
        <w:t xml:space="preserve">, Lim and Karmel </w:t>
      </w:r>
      <w:r w:rsidR="00CD3F72" w:rsidRPr="00617370">
        <w:t>(2013)</w:t>
      </w:r>
      <w:r w:rsidR="007E4117" w:rsidRPr="00617370">
        <w:t xml:space="preserve">, Marks </w:t>
      </w:r>
      <w:r w:rsidR="00E43A1A" w:rsidRPr="00617370">
        <w:t xml:space="preserve">(2010) </w:t>
      </w:r>
      <w:r w:rsidR="007E4117" w:rsidRPr="00617370">
        <w:t xml:space="preserve">found </w:t>
      </w:r>
      <w:r w:rsidR="0011197D" w:rsidRPr="00617370">
        <w:t xml:space="preserve">that </w:t>
      </w:r>
      <w:r w:rsidR="007E4117" w:rsidRPr="00617370">
        <w:t xml:space="preserve">the school’s socioeconomic status did not influence </w:t>
      </w:r>
      <w:r w:rsidR="00465B4F" w:rsidRPr="00617370">
        <w:t xml:space="preserve">tertiary entrance </w:t>
      </w:r>
      <w:r w:rsidR="007E4117" w:rsidRPr="00617370">
        <w:t xml:space="preserve">performance when the academic performance of the school was </w:t>
      </w:r>
      <w:r w:rsidR="007B1049" w:rsidRPr="00617370">
        <w:t>taken into account</w:t>
      </w:r>
      <w:r w:rsidR="007E4117" w:rsidRPr="00617370">
        <w:t xml:space="preserve">. </w:t>
      </w:r>
    </w:p>
    <w:p w14:paraId="6E590BBF" w14:textId="40512485" w:rsidR="00256935" w:rsidRPr="00617370" w:rsidRDefault="001570B8" w:rsidP="00256935">
      <w:pPr>
        <w:pStyle w:val="Text"/>
      </w:pPr>
      <w:r w:rsidRPr="00617370">
        <w:t xml:space="preserve">Jerrim </w:t>
      </w:r>
      <w:r w:rsidR="007B1049" w:rsidRPr="00617370">
        <w:t>and</w:t>
      </w:r>
      <w:r w:rsidRPr="00617370">
        <w:t xml:space="preserve"> Vignoles (2015) also emphasise the limited effect of schools on university entrance. When school effects were added to their model, the likelihood of attending university was largely unchanged when accounting for prior academic achievement and socioeconomic background. In other words, regardless of the schools </w:t>
      </w:r>
      <w:r w:rsidR="006D6CB5" w:rsidRPr="00617370">
        <w:t xml:space="preserve">attended by </w:t>
      </w:r>
      <w:r w:rsidRPr="00617370">
        <w:t>students, students with similar academic ability</w:t>
      </w:r>
      <w:r w:rsidR="005A29AD" w:rsidRPr="00617370">
        <w:t xml:space="preserve"> from</w:t>
      </w:r>
      <w:r w:rsidRPr="00617370">
        <w:t xml:space="preserve"> high socioeconomic backgrounds remain more likely to attend university than their disadvantaged peers. </w:t>
      </w:r>
    </w:p>
    <w:p w14:paraId="1474CCD4" w14:textId="77777777" w:rsidR="00F16B88" w:rsidRPr="00617370" w:rsidRDefault="00F16B88">
      <w:pPr>
        <w:spacing w:before="0" w:line="240" w:lineRule="auto"/>
        <w:rPr>
          <w:rFonts w:ascii="Arial" w:hAnsi="Arial" w:cs="Tahoma"/>
          <w:sz w:val="28"/>
        </w:rPr>
      </w:pPr>
      <w:bookmarkStart w:id="39" w:name="_Toc166511937"/>
      <w:r w:rsidRPr="00617370">
        <w:br w:type="page"/>
      </w:r>
    </w:p>
    <w:p w14:paraId="6F0FCF0A" w14:textId="7823E77E" w:rsidR="00806454" w:rsidRPr="00617370" w:rsidRDefault="007E4117" w:rsidP="00054178">
      <w:pPr>
        <w:pStyle w:val="Heading2"/>
      </w:pPr>
      <w:r w:rsidRPr="00617370">
        <w:lastRenderedPageBreak/>
        <w:t>Purpose of this study</w:t>
      </w:r>
      <w:bookmarkEnd w:id="39"/>
    </w:p>
    <w:p w14:paraId="7504850E" w14:textId="35F0E320" w:rsidR="00397E44" w:rsidRPr="00617370" w:rsidRDefault="00C6117C" w:rsidP="00397E44">
      <w:pPr>
        <w:pStyle w:val="Text"/>
      </w:pPr>
      <w:bookmarkStart w:id="40" w:name="_Hlk163828610"/>
      <w:r w:rsidRPr="00617370">
        <w:t>Our review of the literature suggests that the factors influencing tertiary pathways are</w:t>
      </w:r>
      <w:r w:rsidR="00472A09" w:rsidRPr="00617370">
        <w:t xml:space="preserve"> multifarious</w:t>
      </w:r>
      <w:r w:rsidRPr="00617370">
        <w:t xml:space="preserve">. This is likely to be due to differences in the measures </w:t>
      </w:r>
      <w:r w:rsidR="00B006AD" w:rsidRPr="00617370">
        <w:t>adopted</w:t>
      </w:r>
      <w:r w:rsidRPr="00617370">
        <w:t xml:space="preserve">, the populations or samples under investigation, or </w:t>
      </w:r>
      <w:r w:rsidR="00231248" w:rsidRPr="00617370">
        <w:t xml:space="preserve">the </w:t>
      </w:r>
      <w:r w:rsidRPr="00617370">
        <w:t>analytical approaches</w:t>
      </w:r>
      <w:r w:rsidR="00231248" w:rsidRPr="00617370">
        <w:t xml:space="preserve"> utilised</w:t>
      </w:r>
      <w:r w:rsidRPr="00617370">
        <w:t xml:space="preserve">. </w:t>
      </w:r>
      <w:r w:rsidR="00397E44" w:rsidRPr="00617370">
        <w:t>For example, in Australia, several studies have used longitudinal survey data to explore the relationship between prior academic achievement and tertiary entrance performance</w:t>
      </w:r>
      <w:r w:rsidR="00E57D7C" w:rsidRPr="00617370">
        <w:t xml:space="preserve"> but have employed</w:t>
      </w:r>
      <w:r w:rsidR="00397E44" w:rsidRPr="00617370">
        <w:t xml:space="preserve"> different measures. Marks, </w:t>
      </w:r>
      <w:r w:rsidR="007E3167" w:rsidRPr="00617370">
        <w:t xml:space="preserve">McMillan and </w:t>
      </w:r>
      <w:r w:rsidR="00397E44" w:rsidRPr="00617370">
        <w:t xml:space="preserve">Hillman (2001) </w:t>
      </w:r>
      <w:r w:rsidR="002F746F" w:rsidRPr="00617370">
        <w:t xml:space="preserve">used </w:t>
      </w:r>
      <w:r w:rsidR="00397E44" w:rsidRPr="00617370">
        <w:t xml:space="preserve">customised </w:t>
      </w:r>
      <w:r w:rsidR="00D23350" w:rsidRPr="00617370">
        <w:t>Year 9</w:t>
      </w:r>
      <w:r w:rsidR="00397E44" w:rsidRPr="00617370">
        <w:t xml:space="preserve"> assessments </w:t>
      </w:r>
      <w:r w:rsidR="002F746F" w:rsidRPr="00617370">
        <w:t xml:space="preserve">to </w:t>
      </w:r>
      <w:r w:rsidR="00397E44" w:rsidRPr="00617370">
        <w:t xml:space="preserve">measure prior academic achievement and </w:t>
      </w:r>
      <w:r w:rsidR="008740F5" w:rsidRPr="00617370">
        <w:t xml:space="preserve">the </w:t>
      </w:r>
      <w:r w:rsidR="00397E44" w:rsidRPr="00617370">
        <w:t xml:space="preserve">Equivalent National Tertiary Entrance Rank (ENTER) to measure tertiary entrance performance. Marks (2010) and Gemici, Lim </w:t>
      </w:r>
      <w:r w:rsidR="00A02DE7" w:rsidRPr="00617370">
        <w:t>and</w:t>
      </w:r>
      <w:r w:rsidR="00397E44" w:rsidRPr="00617370">
        <w:t xml:space="preserve"> Karmel (2013) </w:t>
      </w:r>
      <w:r w:rsidR="00CA30F4" w:rsidRPr="00617370">
        <w:t xml:space="preserve">also </w:t>
      </w:r>
      <w:r w:rsidR="00397E44" w:rsidRPr="00617370">
        <w:t xml:space="preserve">used ENTER </w:t>
      </w:r>
      <w:r w:rsidR="00CF7027" w:rsidRPr="00617370">
        <w:t xml:space="preserve">scores </w:t>
      </w:r>
      <w:r w:rsidR="00397E44" w:rsidRPr="00617370">
        <w:t xml:space="preserve">to measure tertiary entrance performance, </w:t>
      </w:r>
      <w:r w:rsidR="0084206C" w:rsidRPr="00617370">
        <w:t xml:space="preserve">but </w:t>
      </w:r>
      <w:r w:rsidR="00750248" w:rsidRPr="00617370">
        <w:t>calculated</w:t>
      </w:r>
      <w:r w:rsidR="00397E44" w:rsidRPr="00617370">
        <w:t xml:space="preserve"> prior academic achievement using</w:t>
      </w:r>
      <w:r w:rsidR="00A26ED3" w:rsidRPr="00617370">
        <w:t xml:space="preserve"> </w:t>
      </w:r>
      <w:r w:rsidR="00472A09" w:rsidRPr="00617370">
        <w:t xml:space="preserve">data from </w:t>
      </w:r>
      <w:r w:rsidR="00A26ED3" w:rsidRPr="00617370">
        <w:t xml:space="preserve">the Programme for </w:t>
      </w:r>
      <w:r w:rsidR="00A25487" w:rsidRPr="00617370">
        <w:t>I</w:t>
      </w:r>
      <w:r w:rsidR="00A26ED3" w:rsidRPr="00617370">
        <w:t>nternational Student Assessment (</w:t>
      </w:r>
      <w:r w:rsidR="00397E44" w:rsidRPr="00617370">
        <w:t>PISA</w:t>
      </w:r>
      <w:r w:rsidR="00A26ED3" w:rsidRPr="00617370">
        <w:t>)</w:t>
      </w:r>
      <w:r w:rsidR="00397E44" w:rsidRPr="00617370">
        <w:t xml:space="preserve">. </w:t>
      </w:r>
      <w:bookmarkStart w:id="41" w:name="_Hlk172618124"/>
      <w:r w:rsidR="00397E44" w:rsidRPr="00617370">
        <w:t xml:space="preserve">Houng and Justman (2014) explored a similar research question </w:t>
      </w:r>
      <w:r w:rsidR="00C355FC" w:rsidRPr="00617370">
        <w:t xml:space="preserve">with </w:t>
      </w:r>
      <w:r w:rsidR="00397E44" w:rsidRPr="00617370">
        <w:t>a linked administrative dataset</w:t>
      </w:r>
      <w:r w:rsidR="00C27429" w:rsidRPr="00617370">
        <w:t>,</w:t>
      </w:r>
      <w:r w:rsidR="00397E44" w:rsidRPr="00617370">
        <w:t xml:space="preserve"> </w:t>
      </w:r>
      <w:r w:rsidR="00C355FC" w:rsidRPr="00617370">
        <w:t xml:space="preserve">using </w:t>
      </w:r>
      <w:r w:rsidR="00397E44" w:rsidRPr="00617370">
        <w:t xml:space="preserve">NAPLAN and ATAR as their measures. However, due to limitations with availability of linked data at a national level, this study only offered a jurisdictional perspective. </w:t>
      </w:r>
    </w:p>
    <w:bookmarkEnd w:id="41"/>
    <w:p w14:paraId="279F85D4" w14:textId="6702B6AB" w:rsidR="00397E44" w:rsidRPr="00617370" w:rsidRDefault="00397E44" w:rsidP="00397E44">
      <w:pPr>
        <w:pStyle w:val="Text"/>
        <w:rPr>
          <w:spacing w:val="2"/>
        </w:rPr>
      </w:pPr>
      <w:r w:rsidRPr="00617370">
        <w:rPr>
          <w:spacing w:val="2"/>
        </w:rPr>
        <w:t>Therefore, the purpose of this study is to determine whether a new, nationally representative</w:t>
      </w:r>
      <w:r w:rsidR="00E14A3C" w:rsidRPr="00617370">
        <w:rPr>
          <w:spacing w:val="2"/>
        </w:rPr>
        <w:t>,</w:t>
      </w:r>
      <w:r w:rsidRPr="00617370">
        <w:rPr>
          <w:spacing w:val="2"/>
        </w:rPr>
        <w:t xml:space="preserve"> linked data source containing standardised national assessment data can be used to better understand tertiary entrance performance while accounting for a range of factors</w:t>
      </w:r>
      <w:r w:rsidR="00E14A3C" w:rsidRPr="00617370">
        <w:rPr>
          <w:spacing w:val="2"/>
        </w:rPr>
        <w:t>,</w:t>
      </w:r>
      <w:r w:rsidRPr="00617370">
        <w:rPr>
          <w:spacing w:val="2"/>
        </w:rPr>
        <w:t xml:space="preserve"> such as a student's individual characteristics, their socioeconomic status and school attended. This study also explores the interrelationship between these factors </w:t>
      </w:r>
      <w:r w:rsidR="00AD7AC6" w:rsidRPr="00617370">
        <w:rPr>
          <w:spacing w:val="2"/>
        </w:rPr>
        <w:t xml:space="preserve">with the aim of </w:t>
      </w:r>
      <w:r w:rsidRPr="00617370">
        <w:rPr>
          <w:spacing w:val="2"/>
        </w:rPr>
        <w:t>establish</w:t>
      </w:r>
      <w:r w:rsidR="00AD7AC6" w:rsidRPr="00617370">
        <w:rPr>
          <w:spacing w:val="2"/>
        </w:rPr>
        <w:t>ing</w:t>
      </w:r>
      <w:r w:rsidRPr="00617370">
        <w:rPr>
          <w:spacing w:val="2"/>
        </w:rPr>
        <w:t xml:space="preserve"> whether the same measures examined in earlier studies remain significant.</w:t>
      </w:r>
    </w:p>
    <w:bookmarkEnd w:id="40"/>
    <w:p w14:paraId="78981330" w14:textId="77777777" w:rsidR="00C05AB0" w:rsidRPr="00617370" w:rsidRDefault="00C05AB0" w:rsidP="00D75ACF">
      <w:pPr>
        <w:pStyle w:val="Text"/>
      </w:pPr>
    </w:p>
    <w:p w14:paraId="1997A299" w14:textId="77777777" w:rsidR="007E4117" w:rsidRPr="00617370" w:rsidRDefault="007E4117">
      <w:pPr>
        <w:spacing w:before="0" w:line="240" w:lineRule="auto"/>
        <w:rPr>
          <w:rFonts w:ascii="Arial" w:hAnsi="Arial" w:cs="Tahoma"/>
          <w:color w:val="000000"/>
          <w:kern w:val="28"/>
          <w:sz w:val="48"/>
          <w:szCs w:val="56"/>
        </w:rPr>
      </w:pPr>
      <w:r w:rsidRPr="00617370">
        <w:br w:type="page"/>
      </w:r>
    </w:p>
    <w:p w14:paraId="172FD48B" w14:textId="3409AD2A" w:rsidR="00057CAF" w:rsidRPr="00617370" w:rsidRDefault="005D533E" w:rsidP="005D533E">
      <w:pPr>
        <w:pStyle w:val="Heading1"/>
        <w:spacing w:before="120"/>
      </w:pPr>
      <w:bookmarkStart w:id="42" w:name="_Toc166511938"/>
      <w:r w:rsidRPr="00617370">
        <w:rPr>
          <w:noProof/>
        </w:rPr>
        <w:lastRenderedPageBreak/>
        <w:drawing>
          <wp:anchor distT="0" distB="0" distL="114300" distR="114300" simplePos="0" relativeHeight="251666444" behindDoc="0" locked="0" layoutInCell="1" allowOverlap="1" wp14:anchorId="295D754E" wp14:editId="4005EA94">
            <wp:simplePos x="0" y="0"/>
            <wp:positionH relativeFrom="column">
              <wp:posOffset>-635</wp:posOffset>
            </wp:positionH>
            <wp:positionV relativeFrom="paragraph">
              <wp:posOffset>0</wp:posOffset>
            </wp:positionV>
            <wp:extent cx="419100" cy="419100"/>
            <wp:effectExtent l="0" t="0" r="0" b="0"/>
            <wp:wrapSquare wrapText="bothSides"/>
            <wp:docPr id="189641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E60" w:rsidRPr="00617370">
        <w:t>Data and methodology</w:t>
      </w:r>
      <w:bookmarkEnd w:id="42"/>
    </w:p>
    <w:p w14:paraId="245AAF99" w14:textId="419EC11E" w:rsidR="00F371F7" w:rsidRPr="00617370" w:rsidRDefault="00F371F7" w:rsidP="00F371F7">
      <w:pPr>
        <w:pStyle w:val="Heading2"/>
      </w:pPr>
      <w:bookmarkStart w:id="43" w:name="_Toc166511939"/>
      <w:r w:rsidRPr="00617370">
        <w:t>Data</w:t>
      </w:r>
      <w:bookmarkEnd w:id="43"/>
    </w:p>
    <w:p w14:paraId="33A75CAA" w14:textId="534FA6D9" w:rsidR="00C852FE" w:rsidRPr="00617370" w:rsidRDefault="003378CA" w:rsidP="002805AE">
      <w:pPr>
        <w:pStyle w:val="Text"/>
      </w:pPr>
      <w:r w:rsidRPr="00617370">
        <w:t>This study uses data from the LSAY</w:t>
      </w:r>
      <w:r w:rsidR="00181A0C" w:rsidRPr="00617370">
        <w:t xml:space="preserve"> cohort </w:t>
      </w:r>
      <w:r w:rsidR="009454A5" w:rsidRPr="00617370">
        <w:t>who</w:t>
      </w:r>
      <w:r w:rsidR="00181A0C" w:rsidRPr="00617370">
        <w:t xml:space="preserve"> commenced the </w:t>
      </w:r>
      <w:r w:rsidR="00A724B4" w:rsidRPr="00617370">
        <w:t xml:space="preserve">program </w:t>
      </w:r>
      <w:r w:rsidR="00181A0C" w:rsidRPr="00617370">
        <w:t>in 2015 (Y15)</w:t>
      </w:r>
      <w:r w:rsidR="00F62F7D" w:rsidRPr="00617370">
        <w:t xml:space="preserve">. </w:t>
      </w:r>
      <w:r w:rsidR="000151A7" w:rsidRPr="00617370">
        <w:t>Six cohorts have been involved in the LSAY program</w:t>
      </w:r>
      <w:r w:rsidR="00873AF3" w:rsidRPr="00617370">
        <w:t xml:space="preserve"> to date</w:t>
      </w:r>
      <w:r w:rsidR="00992534" w:rsidRPr="00617370">
        <w:t>,</w:t>
      </w:r>
      <w:r w:rsidR="000151A7" w:rsidRPr="00617370">
        <w:t xml:space="preserve"> </w:t>
      </w:r>
      <w:r w:rsidR="009D295F" w:rsidRPr="00617370">
        <w:t xml:space="preserve">with </w:t>
      </w:r>
      <w:r w:rsidR="000151A7" w:rsidRPr="00617370">
        <w:t xml:space="preserve">cohorts introduced in </w:t>
      </w:r>
      <w:r w:rsidR="002E3D02" w:rsidRPr="00617370">
        <w:t xml:space="preserve">1995, </w:t>
      </w:r>
      <w:r w:rsidR="000151A7" w:rsidRPr="00617370">
        <w:t>1998, 2003, 2006, 2009 and 2015.</w:t>
      </w:r>
      <w:r w:rsidR="009D295F" w:rsidRPr="00617370">
        <w:t xml:space="preserve"> </w:t>
      </w:r>
      <w:r w:rsidR="005E75C4" w:rsidRPr="00617370">
        <w:t xml:space="preserve">LSAY </w:t>
      </w:r>
      <w:r w:rsidR="009B73C1" w:rsidRPr="00617370">
        <w:t xml:space="preserve">Y15 </w:t>
      </w:r>
      <w:r w:rsidR="005E75C4" w:rsidRPr="00617370">
        <w:t>p</w:t>
      </w:r>
      <w:r w:rsidR="00F62F7D" w:rsidRPr="00617370">
        <w:t xml:space="preserve">articipants </w:t>
      </w:r>
      <w:r w:rsidR="55C8D39F" w:rsidRPr="00617370">
        <w:t>we</w:t>
      </w:r>
      <w:r w:rsidR="5E78E6DF" w:rsidRPr="00617370">
        <w:t>re</w:t>
      </w:r>
      <w:r w:rsidR="00F62F7D" w:rsidRPr="00617370">
        <w:t xml:space="preserve"> drawn from those who participated in the </w:t>
      </w:r>
      <w:r w:rsidR="00132609" w:rsidRPr="00617370">
        <w:t>Organisation for Economic Co</w:t>
      </w:r>
      <w:r w:rsidR="001019D6" w:rsidRPr="00617370">
        <w:t>-operation and Development’s (</w:t>
      </w:r>
      <w:r w:rsidR="00F62F7D" w:rsidRPr="00617370">
        <w:t>OECD</w:t>
      </w:r>
      <w:r w:rsidR="001019D6" w:rsidRPr="00617370">
        <w:t>)</w:t>
      </w:r>
      <w:r w:rsidR="00F62F7D" w:rsidRPr="00617370">
        <w:t xml:space="preserve"> </w:t>
      </w:r>
      <w:r w:rsidR="005E75C4" w:rsidRPr="00617370">
        <w:t xml:space="preserve">2015 </w:t>
      </w:r>
      <w:r w:rsidR="00F62F7D" w:rsidRPr="00617370">
        <w:t>PISA</w:t>
      </w:r>
      <w:r w:rsidR="00E21F84" w:rsidRPr="00617370">
        <w:t>,</w:t>
      </w:r>
      <w:r w:rsidR="00F62F7D" w:rsidRPr="00617370">
        <w:t xml:space="preserve"> </w:t>
      </w:r>
      <w:r w:rsidR="00532C4B" w:rsidRPr="00617370">
        <w:t xml:space="preserve">which </w:t>
      </w:r>
      <w:r w:rsidR="00F62F7D" w:rsidRPr="00617370">
        <w:t xml:space="preserve">provides </w:t>
      </w:r>
      <w:r w:rsidR="004D134A" w:rsidRPr="00617370">
        <w:t xml:space="preserve">a nationally representative sample of </w:t>
      </w:r>
      <w:r w:rsidR="00110DFC" w:rsidRPr="00617370">
        <w:t>school students who were 15 years old in 2015</w:t>
      </w:r>
      <w:r w:rsidR="00F62F7D" w:rsidRPr="00617370">
        <w:t xml:space="preserve">. LSAY respondents </w:t>
      </w:r>
      <w:r w:rsidR="00110DFC" w:rsidRPr="00617370">
        <w:t xml:space="preserve">participate in </w:t>
      </w:r>
      <w:r w:rsidR="006F131D" w:rsidRPr="00617370">
        <w:t xml:space="preserve">annual </w:t>
      </w:r>
      <w:r w:rsidR="00110DFC" w:rsidRPr="00617370">
        <w:t xml:space="preserve">follow-up </w:t>
      </w:r>
      <w:r w:rsidR="00F62F7D" w:rsidRPr="00617370">
        <w:t xml:space="preserve">telephone or online </w:t>
      </w:r>
      <w:r w:rsidR="00110DFC" w:rsidRPr="00617370">
        <w:t>interviews until the</w:t>
      </w:r>
      <w:r w:rsidR="00F62F7D" w:rsidRPr="00617370">
        <w:t xml:space="preserve">y are 25 years old. </w:t>
      </w:r>
      <w:r w:rsidR="002805AE" w:rsidRPr="00617370">
        <w:t>A total of 14 530 students participated in PISA in 2015. However</w:t>
      </w:r>
      <w:r w:rsidR="00C425EC" w:rsidRPr="00617370">
        <w:t>,</w:t>
      </w:r>
      <w:r w:rsidR="002805AE" w:rsidRPr="00617370">
        <w:t xml:space="preserve"> sample attrition</w:t>
      </w:r>
      <w:r w:rsidR="000E4235" w:rsidRPr="00617370">
        <w:t xml:space="preserve"> means that</w:t>
      </w:r>
      <w:r w:rsidR="002805AE" w:rsidRPr="00617370">
        <w:t xml:space="preserve"> the number of </w:t>
      </w:r>
      <w:r w:rsidR="00E21F84" w:rsidRPr="00617370">
        <w:t xml:space="preserve">LSAY </w:t>
      </w:r>
      <w:r w:rsidR="002805AE" w:rsidRPr="00617370">
        <w:t>respondents diminish</w:t>
      </w:r>
      <w:r w:rsidR="00E21F84" w:rsidRPr="00617370">
        <w:t>es with</w:t>
      </w:r>
      <w:r w:rsidR="002805AE" w:rsidRPr="00617370">
        <w:t xml:space="preserve"> each survey wave</w:t>
      </w:r>
      <w:r w:rsidR="00217D47" w:rsidRPr="00617370">
        <w:t xml:space="preserve"> (</w:t>
      </w:r>
      <w:r w:rsidR="005950F7" w:rsidRPr="00617370">
        <w:t>NCVER 2023</w:t>
      </w:r>
      <w:r w:rsidR="00217D47" w:rsidRPr="00617370">
        <w:t>)</w:t>
      </w:r>
      <w:r w:rsidR="002805AE" w:rsidRPr="00617370">
        <w:t>.</w:t>
      </w:r>
    </w:p>
    <w:p w14:paraId="61DC2494" w14:textId="69CCE8F8" w:rsidR="002805AE" w:rsidRPr="00617370" w:rsidRDefault="004D134A" w:rsidP="001D7269">
      <w:pPr>
        <w:pStyle w:val="Text"/>
      </w:pPr>
      <w:r w:rsidRPr="00617370">
        <w:t xml:space="preserve">With NAPLAN </w:t>
      </w:r>
      <w:r w:rsidR="00784D5B" w:rsidRPr="00617370">
        <w:t xml:space="preserve">introduced </w:t>
      </w:r>
      <w:r w:rsidRPr="00617370">
        <w:t>in 2008, the Y15 cohort is the only LSAY cohort to have had the opportunity to participate in NAPLAN testing in the primary years</w:t>
      </w:r>
      <w:r w:rsidR="006F131D" w:rsidRPr="00617370">
        <w:t xml:space="preserve">. </w:t>
      </w:r>
      <w:r w:rsidR="001D7269" w:rsidRPr="00617370">
        <w:t>From wave 2</w:t>
      </w:r>
      <w:r w:rsidR="007A2041" w:rsidRPr="00617370">
        <w:t xml:space="preserve"> in 2016, </w:t>
      </w:r>
      <w:r w:rsidR="001D7269" w:rsidRPr="00617370">
        <w:t xml:space="preserve">respondents were asked for their consent to link their NAPLAN </w:t>
      </w:r>
      <w:r w:rsidR="00A724B4" w:rsidRPr="00617370">
        <w:t xml:space="preserve">test results </w:t>
      </w:r>
      <w:r w:rsidR="001D7269" w:rsidRPr="00617370">
        <w:t>to their LSAY record</w:t>
      </w:r>
      <w:r w:rsidR="00A724B4" w:rsidRPr="00617370">
        <w:t>s</w:t>
      </w:r>
      <w:r w:rsidR="001D7269" w:rsidRPr="00617370">
        <w:t xml:space="preserve">. </w:t>
      </w:r>
      <w:r w:rsidR="00F747CC" w:rsidRPr="00617370">
        <w:t>T</w:t>
      </w:r>
      <w:r w:rsidR="002805AE" w:rsidRPr="00617370">
        <w:t>he overall consent rate for the LSAY</w:t>
      </w:r>
      <w:r w:rsidR="00E97D53" w:rsidRPr="00617370">
        <w:t>—</w:t>
      </w:r>
      <w:r w:rsidR="002805AE" w:rsidRPr="00617370">
        <w:t xml:space="preserve">NAPLAN linkage </w:t>
      </w:r>
      <w:r w:rsidR="00F747CC" w:rsidRPr="00617370">
        <w:t>was</w:t>
      </w:r>
      <w:r w:rsidR="002805AE" w:rsidRPr="00617370">
        <w:t xml:space="preserve"> 83%.</w:t>
      </w:r>
      <w:r w:rsidR="00F747CC" w:rsidRPr="00617370">
        <w:t xml:space="preserve"> </w:t>
      </w:r>
      <w:r w:rsidR="00D01E33" w:rsidRPr="00617370">
        <w:t xml:space="preserve">Of these, 95% </w:t>
      </w:r>
      <w:r w:rsidR="00703B0F" w:rsidRPr="00617370">
        <w:t>could</w:t>
      </w:r>
      <w:r w:rsidR="00D01E33" w:rsidRPr="00617370">
        <w:t xml:space="preserve"> be linked to NAPLAN records from </w:t>
      </w:r>
      <w:r w:rsidR="00784D5B" w:rsidRPr="00617370">
        <w:t>Y</w:t>
      </w:r>
      <w:r w:rsidR="00D01E33" w:rsidRPr="00617370">
        <w:t>ears 3, 5, 7 or 9, resulting in 79% of respondents with linked NAPLAN data</w:t>
      </w:r>
      <w:r w:rsidR="007A2041" w:rsidRPr="00617370">
        <w:t xml:space="preserve"> from at least one year level</w:t>
      </w:r>
      <w:r w:rsidR="00D01E33" w:rsidRPr="00617370">
        <w:t>. Not all records could be successfully linked because either the assessment data w</w:t>
      </w:r>
      <w:r w:rsidR="33C3E413" w:rsidRPr="00617370">
        <w:t>ere</w:t>
      </w:r>
      <w:r w:rsidR="00D01E33" w:rsidRPr="00617370">
        <w:t xml:space="preserve"> not available or details required to undertake the linkage were missing or incorrect (Chew, Semo &amp; Parvazian 2023). </w:t>
      </w:r>
    </w:p>
    <w:p w14:paraId="647644BE" w14:textId="154D72EA" w:rsidR="00F62F7D" w:rsidRPr="00617370" w:rsidRDefault="00F62F7D" w:rsidP="00F371F7">
      <w:pPr>
        <w:pStyle w:val="Text"/>
      </w:pPr>
      <w:r w:rsidRPr="00617370">
        <w:t xml:space="preserve">School data from </w:t>
      </w:r>
      <w:r w:rsidR="00E21F84" w:rsidRPr="00617370">
        <w:t xml:space="preserve">the Australian Curriculum, Assessment and Reporting Authority’s </w:t>
      </w:r>
      <w:r w:rsidR="00F371F7" w:rsidRPr="00617370">
        <w:rPr>
          <w:i/>
          <w:iCs/>
        </w:rPr>
        <w:t>My School</w:t>
      </w:r>
      <w:r w:rsidR="00CF64A0" w:rsidRPr="00617370">
        <w:t xml:space="preserve"> data holdings</w:t>
      </w:r>
      <w:r w:rsidR="007A2041" w:rsidRPr="00617370">
        <w:t xml:space="preserve"> </w:t>
      </w:r>
      <w:r w:rsidRPr="00617370">
        <w:t xml:space="preserve">have also been linked to LSAY records and provide </w:t>
      </w:r>
      <w:r w:rsidR="00F371F7" w:rsidRPr="00617370">
        <w:t xml:space="preserve">school-level information </w:t>
      </w:r>
      <w:r w:rsidR="00CF64A0" w:rsidRPr="00617370">
        <w:t>about</w:t>
      </w:r>
      <w:r w:rsidR="00F371F7" w:rsidRPr="00617370">
        <w:t xml:space="preserve"> the school</w:t>
      </w:r>
      <w:r w:rsidRPr="00617370">
        <w:t>s</w:t>
      </w:r>
      <w:r w:rsidR="00F371F7" w:rsidRPr="00617370">
        <w:t xml:space="preserve"> </w:t>
      </w:r>
      <w:r w:rsidR="00B333A0" w:rsidRPr="00617370">
        <w:t>attended by</w:t>
      </w:r>
      <w:r w:rsidR="346B6FF8" w:rsidRPr="00617370">
        <w:t xml:space="preserve"> </w:t>
      </w:r>
      <w:r w:rsidR="00F371F7" w:rsidRPr="00617370">
        <w:t>students</w:t>
      </w:r>
      <w:r w:rsidR="00110DFC" w:rsidRPr="00617370">
        <w:t>. This allows for</w:t>
      </w:r>
      <w:r w:rsidR="00B333A0" w:rsidRPr="00617370">
        <w:t xml:space="preserve"> an</w:t>
      </w:r>
      <w:r w:rsidR="00110DFC" w:rsidRPr="00617370">
        <w:t xml:space="preserve"> analysis of the effect of the school in the year </w:t>
      </w:r>
      <w:r w:rsidR="6161F805" w:rsidRPr="00617370">
        <w:t>that LSAY respondents</w:t>
      </w:r>
      <w:r w:rsidR="00110DFC" w:rsidRPr="00617370">
        <w:t xml:space="preserve"> participated in NAPLAN</w:t>
      </w:r>
      <w:r w:rsidR="00F371F7" w:rsidRPr="00617370">
        <w:t xml:space="preserve">. </w:t>
      </w:r>
    </w:p>
    <w:p w14:paraId="31B35595" w14:textId="47CCC9F1" w:rsidR="006F131D" w:rsidRPr="00617370" w:rsidRDefault="005E75C4" w:rsidP="00471872">
      <w:pPr>
        <w:pStyle w:val="Text"/>
        <w:rPr>
          <w:color w:val="F79646" w:themeColor="accent6"/>
        </w:rPr>
      </w:pPr>
      <w:r w:rsidRPr="00617370">
        <w:t>T</w:t>
      </w:r>
      <w:r w:rsidR="001C5CC0" w:rsidRPr="00617370">
        <w:t xml:space="preserve">hese </w:t>
      </w:r>
      <w:r w:rsidR="00F371F7" w:rsidRPr="00617370">
        <w:t xml:space="preserve">three datasets </w:t>
      </w:r>
      <w:r w:rsidRPr="00617370">
        <w:t xml:space="preserve">have been combined to create </w:t>
      </w:r>
      <w:r w:rsidR="00F371F7" w:rsidRPr="00617370">
        <w:t>a multi-link</w:t>
      </w:r>
      <w:r w:rsidR="00CF64A0" w:rsidRPr="00617370">
        <w:t xml:space="preserve">ed </w:t>
      </w:r>
      <w:r w:rsidR="00F371F7" w:rsidRPr="00617370">
        <w:t>dataset</w:t>
      </w:r>
      <w:r w:rsidR="00B333A0" w:rsidRPr="00617370">
        <w:t>,</w:t>
      </w:r>
      <w:r w:rsidR="00F371F7" w:rsidRPr="00617370">
        <w:t xml:space="preserve"> </w:t>
      </w:r>
      <w:r w:rsidR="001C5CC0" w:rsidRPr="00617370">
        <w:t xml:space="preserve">consisting </w:t>
      </w:r>
      <w:r w:rsidR="00F371F7" w:rsidRPr="00617370">
        <w:t xml:space="preserve">of LSAY, NAPLAN and ACARA </w:t>
      </w:r>
      <w:r w:rsidR="00F371F7" w:rsidRPr="00617370">
        <w:rPr>
          <w:i/>
          <w:iCs/>
        </w:rPr>
        <w:t>My School</w:t>
      </w:r>
      <w:r w:rsidR="00F371F7" w:rsidRPr="00617370">
        <w:t xml:space="preserve"> data</w:t>
      </w:r>
      <w:r w:rsidR="00A022DE" w:rsidRPr="00617370">
        <w:t>,</w:t>
      </w:r>
      <w:r w:rsidR="00D76A96" w:rsidRPr="00617370">
        <w:t xml:space="preserve"> yielding a sub-sample of </w:t>
      </w:r>
      <w:r w:rsidR="00FA3391" w:rsidRPr="00617370">
        <w:t>2310</w:t>
      </w:r>
      <w:r w:rsidR="00D76A96" w:rsidRPr="00617370">
        <w:t xml:space="preserve"> records. The sub-sample are respondents who have </w:t>
      </w:r>
      <w:r w:rsidR="00471872" w:rsidRPr="00617370">
        <w:t xml:space="preserve">available Year 9 NAPLAN scores and the corresponding school they attended in Year 9, and </w:t>
      </w:r>
      <w:r w:rsidR="007546BA" w:rsidRPr="00617370">
        <w:t xml:space="preserve">indicated they completed a </w:t>
      </w:r>
      <w:r w:rsidR="00471872" w:rsidRPr="00617370">
        <w:t>senior secondary certificate</w:t>
      </w:r>
      <w:r w:rsidR="5AFB61A1" w:rsidRPr="00617370">
        <w:t xml:space="preserve"> of education</w:t>
      </w:r>
      <w:r w:rsidR="0758D835" w:rsidRPr="00617370">
        <w:t>.</w:t>
      </w:r>
    </w:p>
    <w:p w14:paraId="6AA8827E" w14:textId="77777777" w:rsidR="00F371F7" w:rsidRPr="00617370" w:rsidRDefault="00F371F7" w:rsidP="00D01E33">
      <w:pPr>
        <w:pStyle w:val="Heading3"/>
      </w:pPr>
      <w:r w:rsidRPr="00617370">
        <w:t>Outcome variables</w:t>
      </w:r>
    </w:p>
    <w:p w14:paraId="7C53174E" w14:textId="2515DAF7" w:rsidR="00D01E33" w:rsidRPr="00617370" w:rsidRDefault="00E435CA" w:rsidP="00D01E33">
      <w:pPr>
        <w:pStyle w:val="Text"/>
      </w:pPr>
      <w:r w:rsidRPr="00617370">
        <w:t>W</w:t>
      </w:r>
      <w:r w:rsidR="00780F9A" w:rsidRPr="00617370">
        <w:t xml:space="preserve">e define the ATAR as the outcome measure in the analysis. </w:t>
      </w:r>
      <w:r w:rsidR="00D01E33" w:rsidRPr="00617370">
        <w:t xml:space="preserve">ATAR is a national percentile ranking between 0.00 and 99.95 and </w:t>
      </w:r>
      <w:r w:rsidR="00A022DE" w:rsidRPr="00617370">
        <w:t>gives</w:t>
      </w:r>
      <w:r w:rsidR="00D01E33" w:rsidRPr="00617370">
        <w:t xml:space="preserve"> a student’s relative position compared </w:t>
      </w:r>
      <w:r w:rsidR="00A022DE" w:rsidRPr="00617370">
        <w:t>with</w:t>
      </w:r>
      <w:r w:rsidR="00D01E33" w:rsidRPr="00617370">
        <w:t xml:space="preserve"> all other students </w:t>
      </w:r>
      <w:r w:rsidR="00707A67" w:rsidRPr="00617370">
        <w:t>in the</w:t>
      </w:r>
      <w:r w:rsidR="0054226A" w:rsidRPr="00617370">
        <w:t xml:space="preserve"> same</w:t>
      </w:r>
      <w:r w:rsidR="00707A67" w:rsidRPr="00617370">
        <w:t xml:space="preserve"> age cohort</w:t>
      </w:r>
      <w:r w:rsidR="00C2724A" w:rsidRPr="00617370">
        <w:t xml:space="preserve"> (Australian Department of Education 2017)</w:t>
      </w:r>
      <w:r w:rsidR="002C03CF" w:rsidRPr="00617370">
        <w:t>.</w:t>
      </w:r>
      <w:r w:rsidR="007546BA" w:rsidRPr="00617370">
        <w:rPr>
          <w:rStyle w:val="FootnoteReference"/>
        </w:rPr>
        <w:footnoteReference w:id="2"/>
      </w:r>
      <w:r w:rsidR="00D01E33" w:rsidRPr="00617370">
        <w:t xml:space="preserve"> </w:t>
      </w:r>
      <w:r w:rsidR="009803E0" w:rsidRPr="00617370">
        <w:t xml:space="preserve">Eligibility </w:t>
      </w:r>
      <w:r w:rsidR="00E5264A" w:rsidRPr="00617370">
        <w:t>and</w:t>
      </w:r>
      <w:r w:rsidR="00D01E33" w:rsidRPr="00617370">
        <w:t xml:space="preserve"> methods for calculating </w:t>
      </w:r>
      <w:r w:rsidR="6518268B" w:rsidRPr="00617370">
        <w:t>ATAR</w:t>
      </w:r>
      <w:r w:rsidR="6FDCF626" w:rsidRPr="00617370">
        <w:t>s</w:t>
      </w:r>
      <w:r w:rsidR="6518268B" w:rsidRPr="00617370">
        <w:t xml:space="preserve"> </w:t>
      </w:r>
      <w:r w:rsidR="00D01E33" w:rsidRPr="00617370">
        <w:t xml:space="preserve">across each state </w:t>
      </w:r>
      <w:r w:rsidR="6518268B" w:rsidRPr="00617370">
        <w:t>var</w:t>
      </w:r>
      <w:r w:rsidR="15203A7F" w:rsidRPr="00617370">
        <w:t>y</w:t>
      </w:r>
      <w:r w:rsidR="002C03CF" w:rsidRPr="00617370">
        <w:t>;</w:t>
      </w:r>
      <w:r w:rsidR="00D01E33" w:rsidRPr="00617370">
        <w:t xml:space="preserve"> however</w:t>
      </w:r>
      <w:r w:rsidR="002C03CF" w:rsidRPr="00617370">
        <w:t>,</w:t>
      </w:r>
      <w:r w:rsidR="00D01E33" w:rsidRPr="00617370">
        <w:t xml:space="preserve"> the Australasian Conference of Tertiary Admission Centres (ACTAC) checks their equivalence nationally. This means ATARs can be compared across states and territories in any one year.</w:t>
      </w:r>
      <w:r w:rsidR="00274C48" w:rsidRPr="00617370">
        <w:t xml:space="preserve"> Prior to 2020, </w:t>
      </w:r>
      <w:r w:rsidR="00977645" w:rsidRPr="00617370">
        <w:t>Que</w:t>
      </w:r>
      <w:r w:rsidR="0019301F" w:rsidRPr="00617370">
        <w:t>ensland use</w:t>
      </w:r>
      <w:r w:rsidR="00A76C4D" w:rsidRPr="00617370">
        <w:t>d</w:t>
      </w:r>
      <w:r w:rsidR="0019301F" w:rsidRPr="00617370">
        <w:t xml:space="preserve"> </w:t>
      </w:r>
      <w:r w:rsidR="006D79E9" w:rsidRPr="00617370">
        <w:t xml:space="preserve">the </w:t>
      </w:r>
      <w:r w:rsidR="00695251" w:rsidRPr="00617370">
        <w:t xml:space="preserve">Overall Position (OP) instead of ATAR as </w:t>
      </w:r>
      <w:r w:rsidR="00C12D7C" w:rsidRPr="00617370">
        <w:t xml:space="preserve">the primary pathway for tertiary entrance. </w:t>
      </w:r>
      <w:r w:rsidR="0054245D" w:rsidRPr="00617370">
        <w:t>OP is a</w:t>
      </w:r>
      <w:r w:rsidR="00112C9C" w:rsidRPr="00617370">
        <w:t xml:space="preserve"> statewide rank</w:t>
      </w:r>
      <w:r w:rsidR="007935BE" w:rsidRPr="00617370">
        <w:t xml:space="preserve"> showing a student’s</w:t>
      </w:r>
      <w:r w:rsidR="008D748F" w:rsidRPr="00617370">
        <w:t xml:space="preserve"> position </w:t>
      </w:r>
      <w:r w:rsidR="00206557" w:rsidRPr="00617370">
        <w:t xml:space="preserve">compared </w:t>
      </w:r>
      <w:r w:rsidR="00721C81" w:rsidRPr="00617370">
        <w:t>with</w:t>
      </w:r>
      <w:r w:rsidR="00206557" w:rsidRPr="00617370">
        <w:t xml:space="preserve"> all other OP-elig</w:t>
      </w:r>
      <w:r w:rsidR="007E18BE" w:rsidRPr="00617370">
        <w:t>i</w:t>
      </w:r>
      <w:r w:rsidR="00206557" w:rsidRPr="00617370">
        <w:t>ble students in Queensland</w:t>
      </w:r>
      <w:r w:rsidR="007E18BE" w:rsidRPr="00617370">
        <w:t>.</w:t>
      </w:r>
      <w:r w:rsidR="00D01E33" w:rsidRPr="00617370">
        <w:t xml:space="preserve"> </w:t>
      </w:r>
      <w:r w:rsidR="00D4182A" w:rsidRPr="00617370">
        <w:t>OPs can be converted to the ATAR equivalent using the conversion table provided by the Queensland Tertiary Admission Centre (QTAC)</w:t>
      </w:r>
      <w:r w:rsidR="00721C81" w:rsidRPr="00617370">
        <w:t>.</w:t>
      </w:r>
      <w:r w:rsidR="00D4182A" w:rsidRPr="00617370">
        <w:rPr>
          <w:rStyle w:val="FootnoteReference"/>
        </w:rPr>
        <w:footnoteReference w:id="3"/>
      </w:r>
    </w:p>
    <w:p w14:paraId="67517054" w14:textId="3E60CB8B" w:rsidR="003426BA" w:rsidRPr="00617370" w:rsidRDefault="00DB4D8E" w:rsidP="005E75C4">
      <w:pPr>
        <w:pStyle w:val="Text"/>
      </w:pPr>
      <w:r w:rsidRPr="00617370">
        <w:lastRenderedPageBreak/>
        <w:t>From wave 3 (2017) until wave 6 (2020)</w:t>
      </w:r>
      <w:r w:rsidR="00422C09" w:rsidRPr="00617370">
        <w:t>,</w:t>
      </w:r>
      <w:r w:rsidR="00E21F84" w:rsidRPr="00617370">
        <w:t xml:space="preserve"> LSAY</w:t>
      </w:r>
      <w:r w:rsidRPr="00617370">
        <w:t xml:space="preserve"> respondents reported whether they had received an ATAR (or OP for students from Queensland) as part of their annual</w:t>
      </w:r>
      <w:r w:rsidR="00BE5ACC" w:rsidRPr="00617370">
        <w:t xml:space="preserve"> </w:t>
      </w:r>
      <w:r w:rsidRPr="00617370">
        <w:t>interview</w:t>
      </w:r>
      <w:r w:rsidR="000F39C6" w:rsidRPr="00617370">
        <w:t>.</w:t>
      </w:r>
      <w:r w:rsidRPr="00617370">
        <w:t xml:space="preserve"> </w:t>
      </w:r>
      <w:r w:rsidR="00063889" w:rsidRPr="00617370">
        <w:t xml:space="preserve">OPs </w:t>
      </w:r>
      <w:r w:rsidR="00763994" w:rsidRPr="00617370">
        <w:t>were converted to the equivalent ATAR using the aforementioned conversion table</w:t>
      </w:r>
      <w:r w:rsidR="00134351" w:rsidRPr="00617370">
        <w:t xml:space="preserve">. </w:t>
      </w:r>
      <w:r w:rsidR="001A4A6E" w:rsidRPr="00617370">
        <w:t xml:space="preserve">In </w:t>
      </w:r>
      <w:r w:rsidR="00105DBE" w:rsidRPr="00617370">
        <w:t xml:space="preserve">LSAY, </w:t>
      </w:r>
      <w:r w:rsidR="003C36CB" w:rsidRPr="00617370">
        <w:t xml:space="preserve">respondents will only </w:t>
      </w:r>
      <w:r w:rsidR="00C722B8" w:rsidRPr="00617370">
        <w:t>progress to the ATAR question if they have indicated they received a senior secondar</w:t>
      </w:r>
      <w:r w:rsidR="009635C7" w:rsidRPr="00617370">
        <w:t>y certificate or have an unknown senior secondary certificate outcome.</w:t>
      </w:r>
      <w:r w:rsidR="001B4A4E" w:rsidRPr="00617370">
        <w:t xml:space="preserve"> </w:t>
      </w:r>
      <w:r w:rsidRPr="00617370">
        <w:t xml:space="preserve">Our analysis is therefore limited to those who </w:t>
      </w:r>
      <w:r w:rsidR="00C32A0F" w:rsidRPr="00617370">
        <w:t>responded to the ATAR question</w:t>
      </w:r>
      <w:r w:rsidR="000F39C6" w:rsidRPr="00617370">
        <w:t>;</w:t>
      </w:r>
      <w:r w:rsidR="00CC62D1" w:rsidRPr="00617370">
        <w:t xml:space="preserve"> </w:t>
      </w:r>
      <w:r w:rsidRPr="00617370">
        <w:t xml:space="preserve">no imputations were made in this study. </w:t>
      </w:r>
    </w:p>
    <w:p w14:paraId="26E08E3F" w14:textId="5137DE21" w:rsidR="005E75C4" w:rsidRPr="00617370" w:rsidRDefault="00CF64A0" w:rsidP="005E75C4">
      <w:pPr>
        <w:pStyle w:val="Text"/>
      </w:pPr>
      <w:r w:rsidRPr="00617370">
        <w:t>T</w:t>
      </w:r>
      <w:r w:rsidR="00F371F7" w:rsidRPr="00617370">
        <w:t>wo binary outcome</w:t>
      </w:r>
      <w:r w:rsidR="005E75C4" w:rsidRPr="00617370">
        <w:t>s</w:t>
      </w:r>
      <w:r w:rsidRPr="00617370">
        <w:t xml:space="preserve"> are examined as part of this study</w:t>
      </w:r>
      <w:r w:rsidR="00F371F7" w:rsidRPr="00617370">
        <w:t xml:space="preserve">: </w:t>
      </w:r>
    </w:p>
    <w:p w14:paraId="6CE62B55" w14:textId="318FB0A9" w:rsidR="007F6F60" w:rsidRPr="00617370" w:rsidRDefault="00F371F7" w:rsidP="007F6F60">
      <w:pPr>
        <w:pStyle w:val="Dotpoint1"/>
        <w:rPr>
          <w:b/>
          <w:bCs/>
        </w:rPr>
      </w:pPr>
      <w:r w:rsidRPr="00617370">
        <w:t>ATAR recipients</w:t>
      </w:r>
      <w:r w:rsidR="005E75C4" w:rsidRPr="00617370">
        <w:t xml:space="preserve">: </w:t>
      </w:r>
      <w:r w:rsidRPr="00617370">
        <w:t xml:space="preserve">‘1 Yes’ for respondents </w:t>
      </w:r>
      <w:r w:rsidR="4C033A1A" w:rsidRPr="00617370">
        <w:t>who</w:t>
      </w:r>
      <w:r w:rsidRPr="00617370">
        <w:t xml:space="preserve"> received an ATAR</w:t>
      </w:r>
      <w:r w:rsidR="007F6F60" w:rsidRPr="00617370">
        <w:t xml:space="preserve">; and </w:t>
      </w:r>
      <w:r w:rsidRPr="00617370">
        <w:t xml:space="preserve">‘0 No’ for respondents </w:t>
      </w:r>
      <w:r w:rsidR="269CFD4A" w:rsidRPr="00617370">
        <w:t>who</w:t>
      </w:r>
      <w:r w:rsidRPr="00617370">
        <w:t xml:space="preserve"> did not receive an ATAR</w:t>
      </w:r>
    </w:p>
    <w:p w14:paraId="6A295CC3" w14:textId="76D58F68" w:rsidR="00F371F7" w:rsidRPr="00617370" w:rsidRDefault="00F371F7" w:rsidP="007F6F60">
      <w:pPr>
        <w:pStyle w:val="Dotpoint1"/>
      </w:pPr>
      <w:r w:rsidRPr="00617370">
        <w:t>ATAR high achievers</w:t>
      </w:r>
      <w:r w:rsidR="007F6F60" w:rsidRPr="00617370">
        <w:t>:</w:t>
      </w:r>
      <w:r w:rsidR="007F6F60" w:rsidRPr="00617370">
        <w:rPr>
          <w:b/>
          <w:bCs/>
        </w:rPr>
        <w:t xml:space="preserve"> </w:t>
      </w:r>
      <w:r w:rsidRPr="00617370">
        <w:t xml:space="preserve">‘1 Yes’ for respondents </w:t>
      </w:r>
      <w:r w:rsidR="5ADA1AE6" w:rsidRPr="00617370">
        <w:t>who</w:t>
      </w:r>
      <w:r w:rsidRPr="00617370">
        <w:t xml:space="preserve"> </w:t>
      </w:r>
      <w:r w:rsidR="00AF22AA" w:rsidRPr="00617370">
        <w:t xml:space="preserve">received </w:t>
      </w:r>
      <w:r w:rsidRPr="00617370">
        <w:t xml:space="preserve">an ATAR of 90 </w:t>
      </w:r>
      <w:r w:rsidR="11B6D4B3" w:rsidRPr="00617370">
        <w:t>or</w:t>
      </w:r>
      <w:r w:rsidRPr="00617370">
        <w:t xml:space="preserve"> above</w:t>
      </w:r>
      <w:r w:rsidR="007F6F60" w:rsidRPr="00617370">
        <w:t xml:space="preserve">; </w:t>
      </w:r>
      <w:r w:rsidRPr="00617370">
        <w:t xml:space="preserve">‘0 No’ for respondents </w:t>
      </w:r>
      <w:r w:rsidR="78F9C227" w:rsidRPr="00617370">
        <w:t>who</w:t>
      </w:r>
      <w:r w:rsidRPr="00617370">
        <w:t xml:space="preserve"> </w:t>
      </w:r>
      <w:r w:rsidR="00AF22AA" w:rsidRPr="00617370">
        <w:t xml:space="preserve">received </w:t>
      </w:r>
      <w:r w:rsidRPr="00617370">
        <w:t>an ATAR below 90</w:t>
      </w:r>
      <w:r w:rsidR="007F6F60" w:rsidRPr="00617370">
        <w:t xml:space="preserve">; anyone </w:t>
      </w:r>
      <w:r w:rsidR="3610939D" w:rsidRPr="00617370">
        <w:t>who</w:t>
      </w:r>
      <w:r w:rsidR="007F6F60" w:rsidRPr="00617370">
        <w:t xml:space="preserve"> did not receive an ATAR </w:t>
      </w:r>
      <w:r w:rsidR="005732A9" w:rsidRPr="00617370">
        <w:t xml:space="preserve">was </w:t>
      </w:r>
      <w:r w:rsidR="007F6F60" w:rsidRPr="00617370">
        <w:t xml:space="preserve">excluded. </w:t>
      </w:r>
    </w:p>
    <w:p w14:paraId="4D85CF88" w14:textId="70986975" w:rsidR="00F371F7" w:rsidRPr="00617370" w:rsidRDefault="00F371F7" w:rsidP="00897637">
      <w:pPr>
        <w:pStyle w:val="Heading3"/>
      </w:pPr>
      <w:r w:rsidRPr="00617370">
        <w:t>Predictor variables</w:t>
      </w:r>
    </w:p>
    <w:p w14:paraId="7D680FF8" w14:textId="77777777" w:rsidR="001A5EF6" w:rsidRPr="00617370" w:rsidRDefault="001A5EF6" w:rsidP="00E8282E">
      <w:pPr>
        <w:pStyle w:val="Heading5"/>
      </w:pPr>
      <w:r w:rsidRPr="00617370">
        <w:t>Student-level measures</w:t>
      </w:r>
    </w:p>
    <w:p w14:paraId="7F3325C8" w14:textId="2C5FC78C" w:rsidR="00B71921" w:rsidRPr="00617370" w:rsidRDefault="0051199F" w:rsidP="00B71921">
      <w:pPr>
        <w:pStyle w:val="Text"/>
      </w:pPr>
      <w:r w:rsidRPr="00617370">
        <w:t>The s</w:t>
      </w:r>
      <w:r w:rsidR="00B71921" w:rsidRPr="00617370">
        <w:t xml:space="preserve">tudent-level measures </w:t>
      </w:r>
      <w:r w:rsidR="005164D0" w:rsidRPr="00617370">
        <w:t xml:space="preserve">used </w:t>
      </w:r>
      <w:r w:rsidR="00B71921" w:rsidRPr="00617370">
        <w:t xml:space="preserve">in the analysis </w:t>
      </w:r>
      <w:r w:rsidR="614FBEDF" w:rsidRPr="00617370">
        <w:t>include</w:t>
      </w:r>
      <w:r w:rsidR="66E1E5F7" w:rsidRPr="00617370">
        <w:t>d</w:t>
      </w:r>
      <w:r w:rsidR="00B71921" w:rsidRPr="00617370">
        <w:t xml:space="preserve"> gender, Indigenous status, language spoken at home, socioeconomic status and academic achievement. </w:t>
      </w:r>
    </w:p>
    <w:p w14:paraId="2EF39A8C" w14:textId="67F4E498" w:rsidR="00B71921" w:rsidRPr="00617370" w:rsidRDefault="00B71921" w:rsidP="00110A43">
      <w:pPr>
        <w:pStyle w:val="Text"/>
      </w:pPr>
      <w:r w:rsidRPr="00617370">
        <w:t xml:space="preserve">The </w:t>
      </w:r>
      <w:r w:rsidR="006C38FB" w:rsidRPr="00617370">
        <w:t>socioeconomic status</w:t>
      </w:r>
      <w:r w:rsidRPr="00617370">
        <w:t xml:space="preserve"> </w:t>
      </w:r>
      <w:r w:rsidR="006D5AD8" w:rsidRPr="00617370">
        <w:t xml:space="preserve">measurement </w:t>
      </w:r>
      <w:r w:rsidRPr="00617370">
        <w:t>uses the PISA index of Economic, Social and Cultural Status (ESCS). ESCS is a composite score based on parental education, highest parental occupation and home possessions</w:t>
      </w:r>
      <w:r w:rsidR="00110A43" w:rsidRPr="00617370">
        <w:t xml:space="preserve"> and is standardised with a mean of zero and a standard deviation of </w:t>
      </w:r>
      <w:r w:rsidR="005164D0" w:rsidRPr="00617370">
        <w:t>one (OECD 2016)</w:t>
      </w:r>
      <w:r w:rsidR="00110A43" w:rsidRPr="00617370">
        <w:t xml:space="preserve">. </w:t>
      </w:r>
      <w:r w:rsidR="005164D0" w:rsidRPr="00617370">
        <w:t xml:space="preserve">Higher ESCS values indicate a higher level of socioeconomic status. </w:t>
      </w:r>
    </w:p>
    <w:p w14:paraId="44983C62" w14:textId="5A7A7FDF" w:rsidR="004333BC" w:rsidRPr="00617370" w:rsidRDefault="005164D0" w:rsidP="004333BC">
      <w:pPr>
        <w:pStyle w:val="Text"/>
      </w:pPr>
      <w:r w:rsidRPr="00617370">
        <w:t>The NAPLAN tests provide each student with a ‘scale score’ for each learning domain</w:t>
      </w:r>
      <w:r w:rsidR="00162CF6" w:rsidRPr="00617370">
        <w:t>,</w:t>
      </w:r>
      <w:r w:rsidRPr="00617370">
        <w:t xml:space="preserve"> </w:t>
      </w:r>
      <w:r w:rsidR="00F6742C" w:rsidRPr="00617370">
        <w:t>the scores</w:t>
      </w:r>
      <w:r w:rsidRPr="00617370">
        <w:t xml:space="preserve"> rang</w:t>
      </w:r>
      <w:r w:rsidR="00F6742C" w:rsidRPr="00617370">
        <w:t>ing</w:t>
      </w:r>
      <w:r w:rsidRPr="00617370">
        <w:t xml:space="preserve"> from approximately 0 to 1000</w:t>
      </w:r>
      <w:r w:rsidR="004333BC" w:rsidRPr="00617370">
        <w:t xml:space="preserve"> and reported using five scales: one for each of the reading, writing and numeracy domains, and one for each of the two language conventions: spelling, and grammar and punctuation</w:t>
      </w:r>
      <w:r w:rsidR="4FEA3FBC" w:rsidRPr="00617370">
        <w:t>.</w:t>
      </w:r>
      <w:r w:rsidRPr="00617370">
        <w:t xml:space="preserve"> </w:t>
      </w:r>
      <w:r w:rsidR="004333BC" w:rsidRPr="00617370">
        <w:t xml:space="preserve">Each scale is organised into ten bands from Band 1 (low proficiency) to Band 10 (high proficiency). </w:t>
      </w:r>
    </w:p>
    <w:p w14:paraId="06ED2CA9" w14:textId="039F4625" w:rsidR="00B3153A" w:rsidRPr="00617370" w:rsidRDefault="005164D0" w:rsidP="00F371F7">
      <w:pPr>
        <w:pStyle w:val="Text"/>
      </w:pPr>
      <w:r w:rsidRPr="00617370">
        <w:t>The scaling of scores means NAPLAN results can be compared across year levels and over time. For our analysis</w:t>
      </w:r>
      <w:r w:rsidR="00753305" w:rsidRPr="00617370">
        <w:t>,</w:t>
      </w:r>
      <w:r w:rsidRPr="00617370">
        <w:t xml:space="preserve"> </w:t>
      </w:r>
      <w:r w:rsidR="00E96935" w:rsidRPr="00617370">
        <w:t>the</w:t>
      </w:r>
      <w:r w:rsidR="00B3153A" w:rsidRPr="00617370">
        <w:t xml:space="preserve"> sum of </w:t>
      </w:r>
      <w:r w:rsidR="00D23350" w:rsidRPr="00617370">
        <w:t>Year 9</w:t>
      </w:r>
      <w:r w:rsidR="00B3153A" w:rsidRPr="00617370">
        <w:t xml:space="preserve"> NAPLAN reading and numeracy scores </w:t>
      </w:r>
      <w:r w:rsidR="52AA52F3" w:rsidRPr="00617370">
        <w:t>is</w:t>
      </w:r>
      <w:r w:rsidR="00B3153A" w:rsidRPr="00617370">
        <w:t xml:space="preserve"> included as a single predictor variable to account for the effect of both domains on ATAR.</w:t>
      </w:r>
    </w:p>
    <w:p w14:paraId="74AE81F3" w14:textId="1ADF637B" w:rsidR="00F371F7" w:rsidRPr="00617370" w:rsidRDefault="14EC4F30" w:rsidP="00F371F7">
      <w:pPr>
        <w:pStyle w:val="Text"/>
      </w:pPr>
      <w:r w:rsidRPr="00617370">
        <w:t>Table</w:t>
      </w:r>
      <w:r w:rsidR="00501299" w:rsidRPr="00617370">
        <w:t>s</w:t>
      </w:r>
      <w:r w:rsidRPr="00617370">
        <w:t xml:space="preserve"> </w:t>
      </w:r>
      <w:r w:rsidR="1B65B1DC" w:rsidRPr="00617370">
        <w:t>1</w:t>
      </w:r>
      <w:r w:rsidR="00640A75" w:rsidRPr="00617370">
        <w:t xml:space="preserve"> and 2</w:t>
      </w:r>
      <w:r w:rsidRPr="00617370">
        <w:t xml:space="preserve"> show the demographic profile </w:t>
      </w:r>
      <w:r w:rsidR="00640A75" w:rsidRPr="00617370">
        <w:t xml:space="preserve">and Year 9 NAPLAN scores </w:t>
      </w:r>
      <w:r w:rsidRPr="00617370">
        <w:t>of LSAY respondents</w:t>
      </w:r>
      <w:r w:rsidR="00886A45" w:rsidRPr="00617370">
        <w:t>,</w:t>
      </w:r>
      <w:r w:rsidRPr="00617370">
        <w:t xml:space="preserve"> according to their ATAR outcomes.</w:t>
      </w:r>
    </w:p>
    <w:p w14:paraId="3A0A34EF" w14:textId="77777777" w:rsidR="00531993" w:rsidRPr="00617370" w:rsidRDefault="00531993" w:rsidP="00531993">
      <w:pPr>
        <w:pStyle w:val="Heading5"/>
      </w:pPr>
      <w:r w:rsidRPr="00617370">
        <w:t>School-level measures</w:t>
      </w:r>
    </w:p>
    <w:p w14:paraId="349D99E7" w14:textId="253D68AD" w:rsidR="00531993" w:rsidRPr="00617370" w:rsidRDefault="00531993" w:rsidP="00674312">
      <w:pPr>
        <w:pStyle w:val="Text"/>
      </w:pPr>
      <w:r w:rsidRPr="00617370">
        <w:t xml:space="preserve">To account for a school’s influence on student outcomes, an anonymised school identifier has been included in the analysis and corresponds to the school the student attended in the year they undertook the </w:t>
      </w:r>
      <w:r w:rsidR="00D23350" w:rsidRPr="00617370">
        <w:t>Year 9</w:t>
      </w:r>
      <w:r w:rsidRPr="00617370">
        <w:t xml:space="preserve"> NAPLAN assessment. </w:t>
      </w:r>
    </w:p>
    <w:p w14:paraId="1673E11F" w14:textId="77777777" w:rsidR="00E21F84" w:rsidRPr="00617370" w:rsidRDefault="00E21F84">
      <w:pPr>
        <w:spacing w:before="0" w:line="240" w:lineRule="auto"/>
        <w:rPr>
          <w:rFonts w:ascii="Arial" w:hAnsi="Arial"/>
          <w:b/>
          <w:sz w:val="17"/>
        </w:rPr>
      </w:pPr>
      <w:bookmarkStart w:id="44" w:name="_Toc163480802"/>
      <w:r w:rsidRPr="00617370">
        <w:br w:type="page"/>
      </w:r>
    </w:p>
    <w:p w14:paraId="30DAFF44" w14:textId="6B28C754" w:rsidR="00B3153A" w:rsidRPr="00617370" w:rsidRDefault="7FAA2322" w:rsidP="00B3153A">
      <w:pPr>
        <w:pStyle w:val="Tabletitle"/>
      </w:pPr>
      <w:r w:rsidRPr="00617370">
        <w:lastRenderedPageBreak/>
        <w:t xml:space="preserve">Table </w:t>
      </w:r>
      <w:r w:rsidR="58AB94CC" w:rsidRPr="00617370">
        <w:t>1</w:t>
      </w:r>
      <w:r w:rsidR="00B3153A" w:rsidRPr="00617370">
        <w:tab/>
      </w:r>
      <w:r w:rsidRPr="00617370">
        <w:t xml:space="preserve">Demographic profile of </w:t>
      </w:r>
      <w:r w:rsidR="16FBC439" w:rsidRPr="00617370">
        <w:t xml:space="preserve">LSAY </w:t>
      </w:r>
      <w:r w:rsidRPr="00617370">
        <w:t>respondents by ATAR outcomes</w:t>
      </w:r>
      <w:bookmarkEnd w:id="44"/>
    </w:p>
    <w:tbl>
      <w:tblPr>
        <w:tblStyle w:val="NCVERTable"/>
        <w:tblW w:w="9498" w:type="dxa"/>
        <w:tblBorders>
          <w:top w:val="none" w:sz="0" w:space="0" w:color="auto"/>
          <w:bottom w:val="none" w:sz="0" w:space="0" w:color="auto"/>
        </w:tblBorders>
        <w:tblLayout w:type="fixed"/>
        <w:tblLook w:val="04A0" w:firstRow="1" w:lastRow="0" w:firstColumn="1" w:lastColumn="0" w:noHBand="0" w:noVBand="1"/>
      </w:tblPr>
      <w:tblGrid>
        <w:gridCol w:w="2234"/>
        <w:gridCol w:w="879"/>
        <w:gridCol w:w="709"/>
        <w:gridCol w:w="707"/>
        <w:gridCol w:w="708"/>
        <w:gridCol w:w="623"/>
        <w:gridCol w:w="943"/>
        <w:gridCol w:w="569"/>
        <w:gridCol w:w="708"/>
        <w:gridCol w:w="710"/>
        <w:gridCol w:w="22"/>
        <w:gridCol w:w="686"/>
      </w:tblGrid>
      <w:tr w:rsidR="00EB2960" w:rsidRPr="00617370" w14:paraId="69D090B1" w14:textId="77777777" w:rsidTr="00EA37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bottom w:val="none" w:sz="0" w:space="0" w:color="auto"/>
              <w:right w:val="none" w:sz="0" w:space="0" w:color="auto"/>
            </w:tcBorders>
            <w:noWrap/>
            <w:hideMark/>
          </w:tcPr>
          <w:p w14:paraId="28EF6225" w14:textId="77777777" w:rsidR="00EB2960" w:rsidRPr="00617370" w:rsidRDefault="00EB2960" w:rsidP="00E21F84">
            <w:pPr>
              <w:pStyle w:val="Tablehead1"/>
              <w:jc w:val="left"/>
              <w:rPr>
                <w:b/>
                <w:bCs w:val="0"/>
              </w:rPr>
            </w:pPr>
            <w:bookmarkStart w:id="45" w:name="_Hlk141193646"/>
          </w:p>
        </w:tc>
        <w:tc>
          <w:tcPr>
            <w:tcW w:w="3626" w:type="dxa"/>
            <w:gridSpan w:val="5"/>
            <w:tcBorders>
              <w:left w:val="none" w:sz="0" w:space="0" w:color="auto"/>
              <w:bottom w:val="none" w:sz="0" w:space="0" w:color="auto"/>
              <w:right w:val="single" w:sz="8" w:space="0" w:color="auto"/>
            </w:tcBorders>
            <w:noWrap/>
            <w:vAlign w:val="center"/>
            <w:hideMark/>
          </w:tcPr>
          <w:p w14:paraId="0294EA88" w14:textId="77777777" w:rsidR="00EB2960" w:rsidRPr="00617370" w:rsidRDefault="00EB2960" w:rsidP="00E21F84">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ATAR recipient</w:t>
            </w:r>
          </w:p>
        </w:tc>
        <w:tc>
          <w:tcPr>
            <w:tcW w:w="3638" w:type="dxa"/>
            <w:gridSpan w:val="6"/>
            <w:tcBorders>
              <w:left w:val="single" w:sz="8" w:space="0" w:color="auto"/>
              <w:bottom w:val="none" w:sz="0" w:space="0" w:color="auto"/>
            </w:tcBorders>
            <w:noWrap/>
            <w:vAlign w:val="center"/>
            <w:hideMark/>
          </w:tcPr>
          <w:p w14:paraId="25F602A7" w14:textId="77777777" w:rsidR="00EB2960" w:rsidRPr="00617370" w:rsidRDefault="00EB2960" w:rsidP="00E21F84">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ATAR high achievers</w:t>
            </w:r>
          </w:p>
        </w:tc>
      </w:tr>
      <w:tr w:rsidR="00EB2960" w:rsidRPr="00617370" w14:paraId="2B65B846"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none" w:sz="0" w:space="0" w:color="auto"/>
              <w:bottom w:val="none" w:sz="0" w:space="0" w:color="auto"/>
              <w:right w:val="none" w:sz="0" w:space="0" w:color="auto"/>
            </w:tcBorders>
            <w:noWrap/>
            <w:hideMark/>
          </w:tcPr>
          <w:p w14:paraId="53181F90" w14:textId="77777777" w:rsidR="00EB2960" w:rsidRPr="00617370" w:rsidRDefault="00EB2960" w:rsidP="00E21F84">
            <w:pPr>
              <w:pStyle w:val="Tablehead2"/>
              <w:jc w:val="center"/>
            </w:pPr>
          </w:p>
        </w:tc>
        <w:tc>
          <w:tcPr>
            <w:tcW w:w="1588" w:type="dxa"/>
            <w:gridSpan w:val="2"/>
            <w:tcBorders>
              <w:top w:val="none" w:sz="0" w:space="0" w:color="auto"/>
              <w:left w:val="none" w:sz="0" w:space="0" w:color="auto"/>
              <w:bottom w:val="none" w:sz="0" w:space="0" w:color="auto"/>
              <w:right w:val="none" w:sz="0" w:space="0" w:color="auto"/>
            </w:tcBorders>
            <w:noWrap/>
            <w:vAlign w:val="center"/>
            <w:hideMark/>
          </w:tcPr>
          <w:p w14:paraId="5F7FC203" w14:textId="77777777" w:rsidR="00EB2960" w:rsidRPr="00617370" w:rsidRDefault="00EB2960"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Yes</w:t>
            </w:r>
          </w:p>
        </w:tc>
        <w:tc>
          <w:tcPr>
            <w:tcW w:w="1415" w:type="dxa"/>
            <w:gridSpan w:val="2"/>
            <w:tcBorders>
              <w:top w:val="none" w:sz="0" w:space="0" w:color="auto"/>
              <w:left w:val="none" w:sz="0" w:space="0" w:color="auto"/>
              <w:bottom w:val="none" w:sz="0" w:space="0" w:color="auto"/>
              <w:right w:val="none" w:sz="0" w:space="0" w:color="auto"/>
            </w:tcBorders>
            <w:noWrap/>
            <w:vAlign w:val="center"/>
            <w:hideMark/>
          </w:tcPr>
          <w:p w14:paraId="4342C535" w14:textId="77777777" w:rsidR="00EB2960" w:rsidRPr="00617370" w:rsidRDefault="00EB2960"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No</w:t>
            </w:r>
          </w:p>
        </w:tc>
        <w:tc>
          <w:tcPr>
            <w:tcW w:w="623" w:type="dxa"/>
            <w:tcBorders>
              <w:top w:val="none" w:sz="0" w:space="0" w:color="auto"/>
              <w:left w:val="none" w:sz="0" w:space="0" w:color="auto"/>
              <w:bottom w:val="none" w:sz="0" w:space="0" w:color="auto"/>
              <w:right w:val="single" w:sz="4" w:space="0" w:color="auto"/>
            </w:tcBorders>
            <w:shd w:val="clear" w:color="auto" w:fill="F2F2F2" w:themeFill="background1" w:themeFillShade="F2"/>
            <w:noWrap/>
            <w:vAlign w:val="center"/>
            <w:hideMark/>
          </w:tcPr>
          <w:p w14:paraId="73944D1B" w14:textId="77777777" w:rsidR="00EB2960" w:rsidRPr="00617370" w:rsidRDefault="00EB2960"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Total</w:t>
            </w:r>
          </w:p>
        </w:tc>
        <w:tc>
          <w:tcPr>
            <w:tcW w:w="1512" w:type="dxa"/>
            <w:gridSpan w:val="2"/>
            <w:tcBorders>
              <w:top w:val="none" w:sz="0" w:space="0" w:color="auto"/>
              <w:left w:val="single" w:sz="4" w:space="0" w:color="auto"/>
              <w:bottom w:val="none" w:sz="0" w:space="0" w:color="auto"/>
              <w:right w:val="none" w:sz="0" w:space="0" w:color="auto"/>
            </w:tcBorders>
            <w:noWrap/>
            <w:vAlign w:val="center"/>
            <w:hideMark/>
          </w:tcPr>
          <w:p w14:paraId="1B5EF042" w14:textId="77777777" w:rsidR="00EB2960" w:rsidRPr="00617370" w:rsidRDefault="00EB2960"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Yes</w:t>
            </w:r>
          </w:p>
        </w:tc>
        <w:tc>
          <w:tcPr>
            <w:tcW w:w="1440" w:type="dxa"/>
            <w:gridSpan w:val="3"/>
            <w:tcBorders>
              <w:top w:val="none" w:sz="0" w:space="0" w:color="auto"/>
              <w:left w:val="none" w:sz="0" w:space="0" w:color="auto"/>
              <w:bottom w:val="none" w:sz="0" w:space="0" w:color="auto"/>
              <w:right w:val="none" w:sz="0" w:space="0" w:color="auto"/>
            </w:tcBorders>
            <w:noWrap/>
            <w:vAlign w:val="center"/>
            <w:hideMark/>
          </w:tcPr>
          <w:p w14:paraId="2433D9BD" w14:textId="77777777" w:rsidR="00EB2960" w:rsidRPr="00617370" w:rsidRDefault="00EB2960"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No</w:t>
            </w:r>
          </w:p>
        </w:tc>
        <w:tc>
          <w:tcPr>
            <w:tcW w:w="686" w:type="dxa"/>
            <w:tcBorders>
              <w:top w:val="none" w:sz="0" w:space="0" w:color="auto"/>
              <w:left w:val="none" w:sz="0" w:space="0" w:color="auto"/>
              <w:bottom w:val="none" w:sz="0" w:space="0" w:color="auto"/>
            </w:tcBorders>
            <w:shd w:val="clear" w:color="auto" w:fill="F2F2F2" w:themeFill="background1" w:themeFillShade="F2"/>
            <w:noWrap/>
            <w:vAlign w:val="center"/>
            <w:hideMark/>
          </w:tcPr>
          <w:p w14:paraId="7434DF41" w14:textId="77777777" w:rsidR="00EB2960" w:rsidRPr="00617370" w:rsidRDefault="00EB2960"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Total</w:t>
            </w:r>
          </w:p>
        </w:tc>
      </w:tr>
      <w:tr w:rsidR="00EB2960" w:rsidRPr="00617370" w14:paraId="6AF811CA"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auto"/>
            </w:tcBorders>
            <w:noWrap/>
            <w:hideMark/>
          </w:tcPr>
          <w:p w14:paraId="5DA9F64E" w14:textId="77777777" w:rsidR="00EB2960" w:rsidRPr="00617370" w:rsidRDefault="00EB2960" w:rsidP="00E21F84">
            <w:pPr>
              <w:pStyle w:val="Tablehead3"/>
              <w:jc w:val="center"/>
            </w:pPr>
          </w:p>
        </w:tc>
        <w:tc>
          <w:tcPr>
            <w:tcW w:w="879" w:type="dxa"/>
            <w:tcBorders>
              <w:bottom w:val="single" w:sz="4" w:space="0" w:color="auto"/>
            </w:tcBorders>
            <w:noWrap/>
            <w:vAlign w:val="center"/>
            <w:hideMark/>
          </w:tcPr>
          <w:p w14:paraId="5C5AFA75"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n</w:t>
            </w:r>
          </w:p>
        </w:tc>
        <w:tc>
          <w:tcPr>
            <w:tcW w:w="709" w:type="dxa"/>
            <w:tcBorders>
              <w:bottom w:val="single" w:sz="4" w:space="0" w:color="auto"/>
            </w:tcBorders>
            <w:noWrap/>
            <w:vAlign w:val="center"/>
            <w:hideMark/>
          </w:tcPr>
          <w:p w14:paraId="29473877"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w:t>
            </w:r>
          </w:p>
        </w:tc>
        <w:tc>
          <w:tcPr>
            <w:tcW w:w="707" w:type="dxa"/>
            <w:tcBorders>
              <w:bottom w:val="single" w:sz="4" w:space="0" w:color="auto"/>
            </w:tcBorders>
            <w:noWrap/>
            <w:vAlign w:val="center"/>
            <w:hideMark/>
          </w:tcPr>
          <w:p w14:paraId="2C4DFE87"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n</w:t>
            </w:r>
          </w:p>
        </w:tc>
        <w:tc>
          <w:tcPr>
            <w:tcW w:w="708" w:type="dxa"/>
            <w:tcBorders>
              <w:bottom w:val="single" w:sz="4" w:space="0" w:color="auto"/>
            </w:tcBorders>
            <w:noWrap/>
            <w:vAlign w:val="center"/>
            <w:hideMark/>
          </w:tcPr>
          <w:p w14:paraId="472A5DF4"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w:t>
            </w:r>
          </w:p>
        </w:tc>
        <w:tc>
          <w:tcPr>
            <w:tcW w:w="623" w:type="dxa"/>
            <w:tcBorders>
              <w:bottom w:val="single" w:sz="4" w:space="0" w:color="auto"/>
              <w:right w:val="single" w:sz="4" w:space="0" w:color="auto"/>
            </w:tcBorders>
            <w:shd w:val="clear" w:color="auto" w:fill="F2F2F2" w:themeFill="background1" w:themeFillShade="F2"/>
            <w:noWrap/>
            <w:vAlign w:val="center"/>
            <w:hideMark/>
          </w:tcPr>
          <w:p w14:paraId="3F633C79"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n</w:t>
            </w:r>
          </w:p>
        </w:tc>
        <w:tc>
          <w:tcPr>
            <w:tcW w:w="943" w:type="dxa"/>
            <w:tcBorders>
              <w:left w:val="single" w:sz="4" w:space="0" w:color="auto"/>
              <w:bottom w:val="single" w:sz="4" w:space="0" w:color="auto"/>
            </w:tcBorders>
            <w:noWrap/>
            <w:vAlign w:val="center"/>
            <w:hideMark/>
          </w:tcPr>
          <w:p w14:paraId="5D13B7D6"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n</w:t>
            </w:r>
          </w:p>
        </w:tc>
        <w:tc>
          <w:tcPr>
            <w:tcW w:w="569" w:type="dxa"/>
            <w:tcBorders>
              <w:bottom w:val="single" w:sz="4" w:space="0" w:color="auto"/>
            </w:tcBorders>
            <w:noWrap/>
            <w:vAlign w:val="center"/>
            <w:hideMark/>
          </w:tcPr>
          <w:p w14:paraId="58806A54"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w:t>
            </w:r>
          </w:p>
        </w:tc>
        <w:tc>
          <w:tcPr>
            <w:tcW w:w="708" w:type="dxa"/>
            <w:tcBorders>
              <w:bottom w:val="single" w:sz="4" w:space="0" w:color="auto"/>
            </w:tcBorders>
            <w:noWrap/>
            <w:vAlign w:val="center"/>
            <w:hideMark/>
          </w:tcPr>
          <w:p w14:paraId="517BED55"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n</w:t>
            </w:r>
          </w:p>
        </w:tc>
        <w:tc>
          <w:tcPr>
            <w:tcW w:w="732" w:type="dxa"/>
            <w:gridSpan w:val="2"/>
            <w:tcBorders>
              <w:bottom w:val="single" w:sz="4" w:space="0" w:color="auto"/>
            </w:tcBorders>
            <w:noWrap/>
            <w:vAlign w:val="center"/>
            <w:hideMark/>
          </w:tcPr>
          <w:p w14:paraId="1A4CC766"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w:t>
            </w:r>
          </w:p>
        </w:tc>
        <w:tc>
          <w:tcPr>
            <w:tcW w:w="686" w:type="dxa"/>
            <w:tcBorders>
              <w:bottom w:val="single" w:sz="4" w:space="0" w:color="auto"/>
            </w:tcBorders>
            <w:shd w:val="clear" w:color="auto" w:fill="F2F2F2" w:themeFill="background1" w:themeFillShade="F2"/>
            <w:noWrap/>
            <w:vAlign w:val="center"/>
            <w:hideMark/>
          </w:tcPr>
          <w:p w14:paraId="0E8A4EA7" w14:textId="77777777" w:rsidR="00EB2960" w:rsidRPr="00617370" w:rsidRDefault="00EB2960" w:rsidP="00E21F84">
            <w:pPr>
              <w:pStyle w:val="Tablehead3"/>
              <w:jc w:val="center"/>
              <w:cnfStyle w:val="000000000000" w:firstRow="0" w:lastRow="0" w:firstColumn="0" w:lastColumn="0" w:oddVBand="0" w:evenVBand="0" w:oddHBand="0" w:evenHBand="0" w:firstRowFirstColumn="0" w:firstRowLastColumn="0" w:lastRowFirstColumn="0" w:lastRowLastColumn="0"/>
            </w:pPr>
            <w:r w:rsidRPr="00617370">
              <w:t>n</w:t>
            </w:r>
          </w:p>
        </w:tc>
      </w:tr>
      <w:tr w:rsidR="00EB2960" w:rsidRPr="00617370" w14:paraId="642C69F7"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bottom w:val="single" w:sz="4" w:space="0" w:color="auto"/>
            </w:tcBorders>
            <w:noWrap/>
            <w:hideMark/>
          </w:tcPr>
          <w:p w14:paraId="352CA485" w14:textId="3D3A79F0" w:rsidR="00EB2960" w:rsidRPr="00617370" w:rsidRDefault="00EB2960">
            <w:pPr>
              <w:pStyle w:val="Tabletext"/>
              <w:rPr>
                <w:bCs/>
              </w:rPr>
            </w:pPr>
            <w:r w:rsidRPr="00617370">
              <w:rPr>
                <w:bCs/>
              </w:rPr>
              <w:t>Gender</w:t>
            </w:r>
          </w:p>
        </w:tc>
        <w:tc>
          <w:tcPr>
            <w:tcW w:w="879" w:type="dxa"/>
            <w:tcBorders>
              <w:top w:val="single" w:sz="4" w:space="0" w:color="auto"/>
              <w:bottom w:val="single" w:sz="4" w:space="0" w:color="auto"/>
            </w:tcBorders>
            <w:noWrap/>
            <w:vAlign w:val="center"/>
            <w:hideMark/>
          </w:tcPr>
          <w:p w14:paraId="0CB058CA" w14:textId="77777777"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pPr>
          </w:p>
        </w:tc>
        <w:tc>
          <w:tcPr>
            <w:tcW w:w="709" w:type="dxa"/>
            <w:tcBorders>
              <w:top w:val="single" w:sz="4" w:space="0" w:color="auto"/>
              <w:bottom w:val="single" w:sz="4" w:space="0" w:color="auto"/>
            </w:tcBorders>
            <w:noWrap/>
            <w:vAlign w:val="center"/>
            <w:hideMark/>
          </w:tcPr>
          <w:p w14:paraId="644AE205" w14:textId="77777777"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rPr>
                <w:b/>
              </w:rPr>
            </w:pPr>
          </w:p>
        </w:tc>
        <w:tc>
          <w:tcPr>
            <w:tcW w:w="707" w:type="dxa"/>
            <w:tcBorders>
              <w:top w:val="single" w:sz="4" w:space="0" w:color="auto"/>
              <w:bottom w:val="single" w:sz="4" w:space="0" w:color="auto"/>
            </w:tcBorders>
            <w:noWrap/>
            <w:vAlign w:val="center"/>
            <w:hideMark/>
          </w:tcPr>
          <w:p w14:paraId="27CDD334" w14:textId="77777777"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pPr>
          </w:p>
        </w:tc>
        <w:tc>
          <w:tcPr>
            <w:tcW w:w="708" w:type="dxa"/>
            <w:tcBorders>
              <w:top w:val="single" w:sz="4" w:space="0" w:color="auto"/>
              <w:bottom w:val="single" w:sz="4" w:space="0" w:color="auto"/>
            </w:tcBorders>
            <w:noWrap/>
            <w:vAlign w:val="center"/>
            <w:hideMark/>
          </w:tcPr>
          <w:p w14:paraId="1E2C2F42" w14:textId="77777777"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rPr>
                <w:b/>
              </w:rPr>
            </w:pPr>
          </w:p>
        </w:tc>
        <w:tc>
          <w:tcPr>
            <w:tcW w:w="623"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14:paraId="201DC7C0" w14:textId="77777777" w:rsidR="00EB2960" w:rsidRPr="00617370" w:rsidRDefault="00EB2960">
            <w:pPr>
              <w:pStyle w:val="Tabletext"/>
              <w:jc w:val="center"/>
              <w:cnfStyle w:val="000000100000" w:firstRow="0" w:lastRow="0" w:firstColumn="0" w:lastColumn="0" w:oddVBand="0" w:evenVBand="0" w:oddHBand="1" w:evenHBand="0" w:firstRowFirstColumn="0" w:firstRowLastColumn="0" w:lastRowFirstColumn="0" w:lastRowLastColumn="0"/>
            </w:pPr>
          </w:p>
        </w:tc>
        <w:tc>
          <w:tcPr>
            <w:tcW w:w="624" w:type="dxa"/>
            <w:tcBorders>
              <w:top w:val="single" w:sz="4" w:space="0" w:color="auto"/>
              <w:left w:val="single" w:sz="4" w:space="0" w:color="auto"/>
              <w:bottom w:val="single" w:sz="4" w:space="0" w:color="auto"/>
            </w:tcBorders>
            <w:noWrap/>
            <w:vAlign w:val="center"/>
            <w:hideMark/>
          </w:tcPr>
          <w:p w14:paraId="3184E33F" w14:textId="77777777" w:rsidR="00EB2960" w:rsidRPr="00617370" w:rsidRDefault="00EB2960">
            <w:pPr>
              <w:pStyle w:val="Tabletext"/>
              <w:jc w:val="center"/>
              <w:cnfStyle w:val="000000100000" w:firstRow="0" w:lastRow="0" w:firstColumn="0" w:lastColumn="0" w:oddVBand="0" w:evenVBand="0" w:oddHBand="1" w:evenHBand="0" w:firstRowFirstColumn="0" w:firstRowLastColumn="0" w:lastRowFirstColumn="0" w:lastRowLastColumn="0"/>
            </w:pPr>
          </w:p>
        </w:tc>
        <w:tc>
          <w:tcPr>
            <w:tcW w:w="569" w:type="dxa"/>
            <w:tcBorders>
              <w:top w:val="single" w:sz="4" w:space="0" w:color="auto"/>
              <w:bottom w:val="single" w:sz="4" w:space="0" w:color="auto"/>
            </w:tcBorders>
            <w:noWrap/>
            <w:vAlign w:val="center"/>
            <w:hideMark/>
          </w:tcPr>
          <w:p w14:paraId="520EC133" w14:textId="77777777" w:rsidR="00EB2960" w:rsidRPr="00617370" w:rsidRDefault="00EB2960" w:rsidP="00A53800">
            <w:pPr>
              <w:pStyle w:val="Tabletext"/>
              <w:jc w:val="center"/>
              <w:cnfStyle w:val="000000100000" w:firstRow="0" w:lastRow="0" w:firstColumn="0" w:lastColumn="0" w:oddVBand="0" w:evenVBand="0" w:oddHBand="1" w:evenHBand="0" w:firstRowFirstColumn="0" w:firstRowLastColumn="0" w:lastRowFirstColumn="0" w:lastRowLastColumn="0"/>
              <w:rPr>
                <w:b/>
              </w:rPr>
            </w:pPr>
          </w:p>
        </w:tc>
        <w:tc>
          <w:tcPr>
            <w:tcW w:w="708" w:type="dxa"/>
            <w:tcBorders>
              <w:top w:val="single" w:sz="4" w:space="0" w:color="auto"/>
              <w:bottom w:val="single" w:sz="4" w:space="0" w:color="auto"/>
            </w:tcBorders>
            <w:noWrap/>
            <w:vAlign w:val="center"/>
            <w:hideMark/>
          </w:tcPr>
          <w:p w14:paraId="1B16AF26" w14:textId="77777777" w:rsidR="00EB2960" w:rsidRPr="00617370" w:rsidRDefault="00EB2960">
            <w:pPr>
              <w:pStyle w:val="Tabletext"/>
              <w:jc w:val="center"/>
              <w:cnfStyle w:val="000000100000" w:firstRow="0" w:lastRow="0" w:firstColumn="0" w:lastColumn="0" w:oddVBand="0" w:evenVBand="0" w:oddHBand="1" w:evenHBand="0" w:firstRowFirstColumn="0" w:firstRowLastColumn="0" w:lastRowFirstColumn="0" w:lastRowLastColumn="0"/>
            </w:pPr>
          </w:p>
        </w:tc>
        <w:tc>
          <w:tcPr>
            <w:tcW w:w="732" w:type="dxa"/>
            <w:gridSpan w:val="2"/>
            <w:tcBorders>
              <w:top w:val="single" w:sz="4" w:space="0" w:color="auto"/>
              <w:bottom w:val="single" w:sz="4" w:space="0" w:color="auto"/>
            </w:tcBorders>
            <w:noWrap/>
            <w:vAlign w:val="center"/>
            <w:hideMark/>
          </w:tcPr>
          <w:p w14:paraId="504A14AD" w14:textId="77777777" w:rsidR="00EB2960" w:rsidRPr="00617370" w:rsidRDefault="00EB2960">
            <w:pPr>
              <w:pStyle w:val="Tabletext"/>
              <w:jc w:val="center"/>
              <w:cnfStyle w:val="000000100000" w:firstRow="0" w:lastRow="0" w:firstColumn="0" w:lastColumn="0" w:oddVBand="0" w:evenVBand="0" w:oddHBand="1" w:evenHBand="0" w:firstRowFirstColumn="0" w:firstRowLastColumn="0" w:lastRowFirstColumn="0" w:lastRowLastColumn="0"/>
              <w:rPr>
                <w:b/>
              </w:rPr>
            </w:pPr>
          </w:p>
        </w:tc>
        <w:tc>
          <w:tcPr>
            <w:tcW w:w="686" w:type="dxa"/>
            <w:tcBorders>
              <w:top w:val="single" w:sz="4" w:space="0" w:color="auto"/>
              <w:bottom w:val="single" w:sz="4" w:space="0" w:color="auto"/>
            </w:tcBorders>
            <w:shd w:val="clear" w:color="auto" w:fill="F2F2F2" w:themeFill="background1" w:themeFillShade="F2"/>
            <w:noWrap/>
            <w:vAlign w:val="center"/>
            <w:hideMark/>
          </w:tcPr>
          <w:p w14:paraId="450822D0" w14:textId="77777777" w:rsidR="00EB2960" w:rsidRPr="00617370" w:rsidRDefault="00EB2960">
            <w:pPr>
              <w:pStyle w:val="Tabletext"/>
              <w:jc w:val="center"/>
              <w:cnfStyle w:val="000000100000" w:firstRow="0" w:lastRow="0" w:firstColumn="0" w:lastColumn="0" w:oddVBand="0" w:evenVBand="0" w:oddHBand="1" w:evenHBand="0" w:firstRowFirstColumn="0" w:firstRowLastColumn="0" w:lastRowFirstColumn="0" w:lastRowLastColumn="0"/>
            </w:pPr>
          </w:p>
        </w:tc>
      </w:tr>
      <w:tr w:rsidR="00EB2960" w:rsidRPr="00617370" w14:paraId="2B61944D"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tcBorders>
            <w:noWrap/>
            <w:hideMark/>
          </w:tcPr>
          <w:p w14:paraId="2CBBD254" w14:textId="7E7B535E" w:rsidR="00EB2960" w:rsidRPr="00617370" w:rsidRDefault="00EB2960" w:rsidP="002634BA">
            <w:pPr>
              <w:pStyle w:val="Tabletext"/>
              <w:rPr>
                <w:bCs/>
              </w:rPr>
            </w:pPr>
            <w:r w:rsidRPr="00617370">
              <w:rPr>
                <w:b w:val="0"/>
              </w:rPr>
              <w:t>Female</w:t>
            </w:r>
          </w:p>
        </w:tc>
        <w:tc>
          <w:tcPr>
            <w:tcW w:w="879" w:type="dxa"/>
            <w:tcBorders>
              <w:top w:val="single" w:sz="4" w:space="0" w:color="auto"/>
            </w:tcBorders>
            <w:noWrap/>
            <w:vAlign w:val="center"/>
            <w:hideMark/>
          </w:tcPr>
          <w:p w14:paraId="3C80BD34" w14:textId="086A2269"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1 141</w:t>
            </w:r>
          </w:p>
        </w:tc>
        <w:tc>
          <w:tcPr>
            <w:tcW w:w="709" w:type="dxa"/>
            <w:tcBorders>
              <w:top w:val="single" w:sz="4" w:space="0" w:color="auto"/>
            </w:tcBorders>
            <w:noWrap/>
            <w:vAlign w:val="center"/>
            <w:hideMark/>
          </w:tcPr>
          <w:p w14:paraId="31E741D1" w14:textId="73AEC73D"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86.1</w:t>
            </w:r>
          </w:p>
        </w:tc>
        <w:tc>
          <w:tcPr>
            <w:tcW w:w="707" w:type="dxa"/>
            <w:tcBorders>
              <w:top w:val="single" w:sz="4" w:space="0" w:color="auto"/>
            </w:tcBorders>
            <w:noWrap/>
            <w:vAlign w:val="center"/>
            <w:hideMark/>
          </w:tcPr>
          <w:p w14:paraId="0FD4C52C" w14:textId="107CB623"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185</w:t>
            </w:r>
          </w:p>
        </w:tc>
        <w:tc>
          <w:tcPr>
            <w:tcW w:w="708" w:type="dxa"/>
            <w:tcBorders>
              <w:top w:val="single" w:sz="4" w:space="0" w:color="auto"/>
            </w:tcBorders>
            <w:noWrap/>
            <w:vAlign w:val="center"/>
            <w:hideMark/>
          </w:tcPr>
          <w:p w14:paraId="709CDF14" w14:textId="69D94D71"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14.0</w:t>
            </w:r>
          </w:p>
        </w:tc>
        <w:tc>
          <w:tcPr>
            <w:tcW w:w="623" w:type="dxa"/>
            <w:tcBorders>
              <w:top w:val="single" w:sz="4" w:space="0" w:color="auto"/>
              <w:right w:val="single" w:sz="4" w:space="0" w:color="auto"/>
            </w:tcBorders>
            <w:shd w:val="clear" w:color="auto" w:fill="F2F2F2" w:themeFill="background1" w:themeFillShade="F2"/>
            <w:noWrap/>
            <w:vAlign w:val="center"/>
            <w:hideMark/>
          </w:tcPr>
          <w:p w14:paraId="4D270803" w14:textId="2CBCB2B6"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1 326</w:t>
            </w:r>
          </w:p>
        </w:tc>
        <w:tc>
          <w:tcPr>
            <w:tcW w:w="624" w:type="dxa"/>
            <w:tcBorders>
              <w:top w:val="single" w:sz="4" w:space="0" w:color="auto"/>
              <w:left w:val="single" w:sz="4" w:space="0" w:color="auto"/>
            </w:tcBorders>
            <w:noWrap/>
            <w:vAlign w:val="center"/>
            <w:hideMark/>
          </w:tcPr>
          <w:p w14:paraId="6D6B3DC5" w14:textId="74573CAA"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248</w:t>
            </w:r>
          </w:p>
        </w:tc>
        <w:tc>
          <w:tcPr>
            <w:tcW w:w="569" w:type="dxa"/>
            <w:tcBorders>
              <w:top w:val="single" w:sz="4" w:space="0" w:color="auto"/>
            </w:tcBorders>
            <w:noWrap/>
            <w:vAlign w:val="center"/>
            <w:hideMark/>
          </w:tcPr>
          <w:p w14:paraId="462D90DF" w14:textId="3056726D"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29.6</w:t>
            </w:r>
          </w:p>
        </w:tc>
        <w:tc>
          <w:tcPr>
            <w:tcW w:w="708" w:type="dxa"/>
            <w:tcBorders>
              <w:top w:val="single" w:sz="4" w:space="0" w:color="auto"/>
            </w:tcBorders>
            <w:noWrap/>
            <w:vAlign w:val="center"/>
            <w:hideMark/>
          </w:tcPr>
          <w:p w14:paraId="5D1BA0D6" w14:textId="1AD87099"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589</w:t>
            </w:r>
          </w:p>
        </w:tc>
        <w:tc>
          <w:tcPr>
            <w:tcW w:w="732" w:type="dxa"/>
            <w:gridSpan w:val="2"/>
            <w:tcBorders>
              <w:top w:val="single" w:sz="4" w:space="0" w:color="auto"/>
            </w:tcBorders>
            <w:noWrap/>
            <w:vAlign w:val="center"/>
            <w:hideMark/>
          </w:tcPr>
          <w:p w14:paraId="07F62C2E" w14:textId="32F6168C"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70.4</w:t>
            </w:r>
          </w:p>
        </w:tc>
        <w:tc>
          <w:tcPr>
            <w:tcW w:w="686" w:type="dxa"/>
            <w:tcBorders>
              <w:top w:val="single" w:sz="4" w:space="0" w:color="auto"/>
            </w:tcBorders>
            <w:shd w:val="clear" w:color="auto" w:fill="F2F2F2" w:themeFill="background1" w:themeFillShade="F2"/>
            <w:noWrap/>
            <w:vAlign w:val="center"/>
            <w:hideMark/>
          </w:tcPr>
          <w:p w14:paraId="0A098C8C" w14:textId="180B66F1"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837</w:t>
            </w:r>
          </w:p>
        </w:tc>
      </w:tr>
      <w:tr w:rsidR="00A53800" w:rsidRPr="00617370" w14:paraId="5CC6FDA2"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auto"/>
            </w:tcBorders>
            <w:noWrap/>
            <w:hideMark/>
          </w:tcPr>
          <w:p w14:paraId="174AABDC" w14:textId="48BA1C53" w:rsidR="00EB2960" w:rsidRPr="00617370" w:rsidRDefault="00EB2960" w:rsidP="002634BA">
            <w:pPr>
              <w:pStyle w:val="Tabletext"/>
              <w:rPr>
                <w:bCs/>
              </w:rPr>
            </w:pPr>
            <w:r w:rsidRPr="00617370">
              <w:rPr>
                <w:b w:val="0"/>
              </w:rPr>
              <w:t>Male</w:t>
            </w:r>
          </w:p>
        </w:tc>
        <w:tc>
          <w:tcPr>
            <w:tcW w:w="879" w:type="dxa"/>
            <w:tcBorders>
              <w:bottom w:val="single" w:sz="4" w:space="0" w:color="auto"/>
            </w:tcBorders>
            <w:noWrap/>
            <w:vAlign w:val="center"/>
            <w:hideMark/>
          </w:tcPr>
          <w:p w14:paraId="26AFCA40" w14:textId="232FFD44"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815</w:t>
            </w:r>
          </w:p>
        </w:tc>
        <w:tc>
          <w:tcPr>
            <w:tcW w:w="709" w:type="dxa"/>
            <w:tcBorders>
              <w:bottom w:val="single" w:sz="4" w:space="0" w:color="auto"/>
            </w:tcBorders>
            <w:noWrap/>
            <w:vAlign w:val="center"/>
            <w:hideMark/>
          </w:tcPr>
          <w:p w14:paraId="40EEBCFC" w14:textId="2A6B271C"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82.8</w:t>
            </w:r>
          </w:p>
        </w:tc>
        <w:tc>
          <w:tcPr>
            <w:tcW w:w="707" w:type="dxa"/>
            <w:tcBorders>
              <w:bottom w:val="single" w:sz="4" w:space="0" w:color="auto"/>
            </w:tcBorders>
            <w:noWrap/>
            <w:vAlign w:val="center"/>
            <w:hideMark/>
          </w:tcPr>
          <w:p w14:paraId="21D4F12E" w14:textId="75DA517A"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169</w:t>
            </w:r>
          </w:p>
        </w:tc>
        <w:tc>
          <w:tcPr>
            <w:tcW w:w="708" w:type="dxa"/>
            <w:tcBorders>
              <w:bottom w:val="single" w:sz="4" w:space="0" w:color="auto"/>
            </w:tcBorders>
            <w:noWrap/>
            <w:vAlign w:val="center"/>
            <w:hideMark/>
          </w:tcPr>
          <w:p w14:paraId="01353F31" w14:textId="3CA746FC"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17.2</w:t>
            </w:r>
          </w:p>
        </w:tc>
        <w:tc>
          <w:tcPr>
            <w:tcW w:w="623" w:type="dxa"/>
            <w:tcBorders>
              <w:bottom w:val="single" w:sz="4" w:space="0" w:color="auto"/>
              <w:right w:val="single" w:sz="4" w:space="0" w:color="auto"/>
            </w:tcBorders>
            <w:shd w:val="clear" w:color="auto" w:fill="F2F2F2" w:themeFill="background1" w:themeFillShade="F2"/>
            <w:noWrap/>
            <w:vAlign w:val="center"/>
            <w:hideMark/>
          </w:tcPr>
          <w:p w14:paraId="72C5E73B" w14:textId="54416FA2"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rPr>
                <w:bCs/>
              </w:rPr>
            </w:pPr>
            <w:r w:rsidRPr="00617370">
              <w:rPr>
                <w:bCs/>
              </w:rPr>
              <w:t>984</w:t>
            </w:r>
          </w:p>
        </w:tc>
        <w:tc>
          <w:tcPr>
            <w:tcW w:w="624" w:type="dxa"/>
            <w:tcBorders>
              <w:left w:val="single" w:sz="4" w:space="0" w:color="auto"/>
              <w:bottom w:val="single" w:sz="4" w:space="0" w:color="auto"/>
            </w:tcBorders>
            <w:noWrap/>
            <w:vAlign w:val="center"/>
            <w:hideMark/>
          </w:tcPr>
          <w:p w14:paraId="2D44B7A0" w14:textId="41F65C21"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r w:rsidRPr="00617370">
              <w:t>175</w:t>
            </w:r>
          </w:p>
        </w:tc>
        <w:tc>
          <w:tcPr>
            <w:tcW w:w="569" w:type="dxa"/>
            <w:tcBorders>
              <w:bottom w:val="single" w:sz="4" w:space="0" w:color="auto"/>
            </w:tcBorders>
            <w:noWrap/>
            <w:vAlign w:val="center"/>
            <w:hideMark/>
          </w:tcPr>
          <w:p w14:paraId="40453770" w14:textId="62F7AA84"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pPr>
            <w:r w:rsidRPr="00617370">
              <w:t>27.3</w:t>
            </w:r>
          </w:p>
        </w:tc>
        <w:tc>
          <w:tcPr>
            <w:tcW w:w="708" w:type="dxa"/>
            <w:tcBorders>
              <w:bottom w:val="single" w:sz="4" w:space="0" w:color="auto"/>
            </w:tcBorders>
            <w:noWrap/>
            <w:vAlign w:val="center"/>
            <w:hideMark/>
          </w:tcPr>
          <w:p w14:paraId="3A6C9403" w14:textId="3468CBD0"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467</w:t>
            </w:r>
          </w:p>
        </w:tc>
        <w:tc>
          <w:tcPr>
            <w:tcW w:w="732" w:type="dxa"/>
            <w:gridSpan w:val="2"/>
            <w:tcBorders>
              <w:bottom w:val="single" w:sz="4" w:space="0" w:color="auto"/>
            </w:tcBorders>
            <w:noWrap/>
            <w:vAlign w:val="center"/>
            <w:hideMark/>
          </w:tcPr>
          <w:p w14:paraId="72770623" w14:textId="77BA263B"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72.7</w:t>
            </w:r>
          </w:p>
        </w:tc>
        <w:tc>
          <w:tcPr>
            <w:tcW w:w="686" w:type="dxa"/>
            <w:tcBorders>
              <w:bottom w:val="single" w:sz="4" w:space="0" w:color="auto"/>
            </w:tcBorders>
            <w:shd w:val="clear" w:color="auto" w:fill="F2F2F2" w:themeFill="background1" w:themeFillShade="F2"/>
            <w:noWrap/>
            <w:vAlign w:val="center"/>
            <w:hideMark/>
          </w:tcPr>
          <w:p w14:paraId="5B335EC1" w14:textId="781A7CA2"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Cs/>
              </w:rPr>
            </w:pPr>
            <w:r w:rsidRPr="00617370">
              <w:rPr>
                <w:bCs/>
              </w:rPr>
              <w:t>642</w:t>
            </w:r>
          </w:p>
        </w:tc>
      </w:tr>
      <w:tr w:rsidR="00A53800" w:rsidRPr="00617370" w14:paraId="6C34F6C5"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bottom w:val="single" w:sz="4" w:space="0" w:color="auto"/>
            </w:tcBorders>
            <w:noWrap/>
            <w:hideMark/>
          </w:tcPr>
          <w:p w14:paraId="58FD22CA" w14:textId="77777777" w:rsidR="00EB2960" w:rsidRPr="00617370" w:rsidRDefault="00EB2960">
            <w:pPr>
              <w:pStyle w:val="Tabletext"/>
              <w:rPr>
                <w:bCs/>
              </w:rPr>
            </w:pPr>
            <w:r w:rsidRPr="00617370">
              <w:rPr>
                <w:bCs/>
              </w:rPr>
              <w:t>Indigenous status</w:t>
            </w:r>
          </w:p>
        </w:tc>
        <w:tc>
          <w:tcPr>
            <w:tcW w:w="879" w:type="dxa"/>
            <w:tcBorders>
              <w:top w:val="single" w:sz="4" w:space="0" w:color="auto"/>
              <w:bottom w:val="single" w:sz="4" w:space="0" w:color="auto"/>
            </w:tcBorders>
            <w:noWrap/>
            <w:vAlign w:val="center"/>
            <w:hideMark/>
          </w:tcPr>
          <w:p w14:paraId="022C91A7"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Cs/>
              </w:rPr>
            </w:pPr>
          </w:p>
        </w:tc>
        <w:tc>
          <w:tcPr>
            <w:tcW w:w="709" w:type="dxa"/>
            <w:tcBorders>
              <w:top w:val="single" w:sz="4" w:space="0" w:color="auto"/>
              <w:bottom w:val="single" w:sz="4" w:space="0" w:color="auto"/>
            </w:tcBorders>
            <w:noWrap/>
            <w:vAlign w:val="center"/>
            <w:hideMark/>
          </w:tcPr>
          <w:p w14:paraId="02DC6739"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
              </w:rPr>
            </w:pPr>
          </w:p>
        </w:tc>
        <w:tc>
          <w:tcPr>
            <w:tcW w:w="707" w:type="dxa"/>
            <w:tcBorders>
              <w:top w:val="single" w:sz="4" w:space="0" w:color="auto"/>
              <w:bottom w:val="single" w:sz="4" w:space="0" w:color="auto"/>
            </w:tcBorders>
            <w:noWrap/>
            <w:vAlign w:val="center"/>
            <w:hideMark/>
          </w:tcPr>
          <w:p w14:paraId="5C70A7FC"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p>
        </w:tc>
        <w:tc>
          <w:tcPr>
            <w:tcW w:w="708" w:type="dxa"/>
            <w:tcBorders>
              <w:top w:val="single" w:sz="4" w:space="0" w:color="auto"/>
              <w:bottom w:val="single" w:sz="4" w:space="0" w:color="auto"/>
            </w:tcBorders>
            <w:noWrap/>
            <w:vAlign w:val="center"/>
            <w:hideMark/>
          </w:tcPr>
          <w:p w14:paraId="68E95AD0"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rPr>
            </w:pPr>
          </w:p>
        </w:tc>
        <w:tc>
          <w:tcPr>
            <w:tcW w:w="623"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14:paraId="5B4DC1D1" w14:textId="77777777"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pPr>
          </w:p>
        </w:tc>
        <w:tc>
          <w:tcPr>
            <w:tcW w:w="624" w:type="dxa"/>
            <w:tcBorders>
              <w:top w:val="single" w:sz="4" w:space="0" w:color="auto"/>
              <w:left w:val="single" w:sz="4" w:space="0" w:color="auto"/>
              <w:bottom w:val="single" w:sz="4" w:space="0" w:color="auto"/>
            </w:tcBorders>
            <w:noWrap/>
            <w:vAlign w:val="center"/>
            <w:hideMark/>
          </w:tcPr>
          <w:p w14:paraId="51114A1D" w14:textId="77777777"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p>
        </w:tc>
        <w:tc>
          <w:tcPr>
            <w:tcW w:w="569" w:type="dxa"/>
            <w:tcBorders>
              <w:top w:val="single" w:sz="4" w:space="0" w:color="auto"/>
              <w:bottom w:val="single" w:sz="4" w:space="0" w:color="auto"/>
            </w:tcBorders>
            <w:noWrap/>
            <w:vAlign w:val="center"/>
            <w:hideMark/>
          </w:tcPr>
          <w:p w14:paraId="1F55168D" w14:textId="77777777"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rPr>
                <w:b/>
              </w:rPr>
            </w:pPr>
          </w:p>
        </w:tc>
        <w:tc>
          <w:tcPr>
            <w:tcW w:w="708" w:type="dxa"/>
            <w:tcBorders>
              <w:top w:val="single" w:sz="4" w:space="0" w:color="auto"/>
              <w:bottom w:val="single" w:sz="4" w:space="0" w:color="auto"/>
            </w:tcBorders>
            <w:noWrap/>
            <w:vAlign w:val="center"/>
            <w:hideMark/>
          </w:tcPr>
          <w:p w14:paraId="1E4ED4CC"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p>
        </w:tc>
        <w:tc>
          <w:tcPr>
            <w:tcW w:w="732" w:type="dxa"/>
            <w:gridSpan w:val="2"/>
            <w:tcBorders>
              <w:top w:val="single" w:sz="4" w:space="0" w:color="auto"/>
              <w:bottom w:val="single" w:sz="4" w:space="0" w:color="auto"/>
            </w:tcBorders>
            <w:noWrap/>
            <w:vAlign w:val="center"/>
            <w:hideMark/>
          </w:tcPr>
          <w:p w14:paraId="51466B14"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rPr>
            </w:pPr>
          </w:p>
        </w:tc>
        <w:tc>
          <w:tcPr>
            <w:tcW w:w="686" w:type="dxa"/>
            <w:tcBorders>
              <w:top w:val="single" w:sz="4" w:space="0" w:color="auto"/>
              <w:bottom w:val="single" w:sz="4" w:space="0" w:color="auto"/>
            </w:tcBorders>
            <w:shd w:val="clear" w:color="auto" w:fill="F2F2F2" w:themeFill="background1" w:themeFillShade="F2"/>
            <w:noWrap/>
            <w:vAlign w:val="center"/>
            <w:hideMark/>
          </w:tcPr>
          <w:p w14:paraId="1586B75C"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p>
        </w:tc>
      </w:tr>
      <w:tr w:rsidR="00EB2960" w:rsidRPr="00617370" w14:paraId="232070EE"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tcBorders>
            <w:noWrap/>
            <w:hideMark/>
          </w:tcPr>
          <w:p w14:paraId="46EBE62B" w14:textId="77777777" w:rsidR="00EB2960" w:rsidRPr="00617370" w:rsidRDefault="00EB2960" w:rsidP="002634BA">
            <w:pPr>
              <w:pStyle w:val="Tabletext"/>
              <w:rPr>
                <w:b w:val="0"/>
              </w:rPr>
            </w:pPr>
            <w:r w:rsidRPr="00617370">
              <w:rPr>
                <w:b w:val="0"/>
              </w:rPr>
              <w:t>Non-Indigenous</w:t>
            </w:r>
          </w:p>
        </w:tc>
        <w:tc>
          <w:tcPr>
            <w:tcW w:w="879" w:type="dxa"/>
            <w:tcBorders>
              <w:top w:val="single" w:sz="4" w:space="0" w:color="auto"/>
            </w:tcBorders>
            <w:noWrap/>
            <w:vAlign w:val="center"/>
            <w:hideMark/>
          </w:tcPr>
          <w:p w14:paraId="62E9CA2C" w14:textId="4666C19E"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1 805</w:t>
            </w:r>
          </w:p>
        </w:tc>
        <w:tc>
          <w:tcPr>
            <w:tcW w:w="709" w:type="dxa"/>
            <w:tcBorders>
              <w:top w:val="single" w:sz="4" w:space="0" w:color="auto"/>
            </w:tcBorders>
            <w:noWrap/>
            <w:vAlign w:val="center"/>
            <w:hideMark/>
          </w:tcPr>
          <w:p w14:paraId="3DFDEFEC" w14:textId="3A0D0E4F"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86.5</w:t>
            </w:r>
          </w:p>
        </w:tc>
        <w:tc>
          <w:tcPr>
            <w:tcW w:w="707" w:type="dxa"/>
            <w:tcBorders>
              <w:top w:val="single" w:sz="4" w:space="0" w:color="auto"/>
            </w:tcBorders>
            <w:noWrap/>
            <w:vAlign w:val="center"/>
            <w:hideMark/>
          </w:tcPr>
          <w:p w14:paraId="51EA06D4" w14:textId="43C190FB"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281</w:t>
            </w:r>
          </w:p>
        </w:tc>
        <w:tc>
          <w:tcPr>
            <w:tcW w:w="708" w:type="dxa"/>
            <w:tcBorders>
              <w:top w:val="single" w:sz="4" w:space="0" w:color="auto"/>
            </w:tcBorders>
            <w:noWrap/>
            <w:vAlign w:val="center"/>
            <w:hideMark/>
          </w:tcPr>
          <w:p w14:paraId="1A14C18B" w14:textId="0587B526"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13.5</w:t>
            </w:r>
          </w:p>
        </w:tc>
        <w:tc>
          <w:tcPr>
            <w:tcW w:w="623" w:type="dxa"/>
            <w:tcBorders>
              <w:top w:val="single" w:sz="4" w:space="0" w:color="auto"/>
              <w:right w:val="single" w:sz="4" w:space="0" w:color="auto"/>
            </w:tcBorders>
            <w:shd w:val="clear" w:color="auto" w:fill="F2F2F2" w:themeFill="background1" w:themeFillShade="F2"/>
            <w:noWrap/>
            <w:vAlign w:val="center"/>
            <w:hideMark/>
          </w:tcPr>
          <w:p w14:paraId="2951B2C3" w14:textId="0B0731F9"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rPr>
                <w:bCs/>
              </w:rPr>
            </w:pPr>
            <w:r w:rsidRPr="00617370">
              <w:rPr>
                <w:bCs/>
              </w:rPr>
              <w:t>2 086</w:t>
            </w:r>
          </w:p>
        </w:tc>
        <w:tc>
          <w:tcPr>
            <w:tcW w:w="624" w:type="dxa"/>
            <w:tcBorders>
              <w:top w:val="single" w:sz="4" w:space="0" w:color="auto"/>
              <w:left w:val="single" w:sz="4" w:space="0" w:color="auto"/>
            </w:tcBorders>
            <w:noWrap/>
            <w:vAlign w:val="center"/>
            <w:hideMark/>
          </w:tcPr>
          <w:p w14:paraId="3E439E55" w14:textId="77777777"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r w:rsidRPr="00617370">
              <w:t>409</w:t>
            </w:r>
          </w:p>
        </w:tc>
        <w:tc>
          <w:tcPr>
            <w:tcW w:w="569" w:type="dxa"/>
            <w:tcBorders>
              <w:top w:val="single" w:sz="4" w:space="0" w:color="auto"/>
            </w:tcBorders>
            <w:noWrap/>
            <w:vAlign w:val="center"/>
            <w:hideMark/>
          </w:tcPr>
          <w:p w14:paraId="431E0543" w14:textId="77777777"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pPr>
            <w:r w:rsidRPr="00617370">
              <w:t>29.8</w:t>
            </w:r>
          </w:p>
        </w:tc>
        <w:tc>
          <w:tcPr>
            <w:tcW w:w="708" w:type="dxa"/>
            <w:tcBorders>
              <w:top w:val="single" w:sz="4" w:space="0" w:color="auto"/>
            </w:tcBorders>
            <w:noWrap/>
            <w:vAlign w:val="center"/>
            <w:hideMark/>
          </w:tcPr>
          <w:p w14:paraId="71BCA1C5"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966</w:t>
            </w:r>
          </w:p>
        </w:tc>
        <w:tc>
          <w:tcPr>
            <w:tcW w:w="732" w:type="dxa"/>
            <w:gridSpan w:val="2"/>
            <w:tcBorders>
              <w:top w:val="single" w:sz="4" w:space="0" w:color="auto"/>
            </w:tcBorders>
            <w:noWrap/>
            <w:vAlign w:val="center"/>
            <w:hideMark/>
          </w:tcPr>
          <w:p w14:paraId="6C96F8E0"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70.3</w:t>
            </w:r>
          </w:p>
        </w:tc>
        <w:tc>
          <w:tcPr>
            <w:tcW w:w="686" w:type="dxa"/>
            <w:tcBorders>
              <w:top w:val="single" w:sz="4" w:space="0" w:color="auto"/>
            </w:tcBorders>
            <w:shd w:val="clear" w:color="auto" w:fill="F2F2F2" w:themeFill="background1" w:themeFillShade="F2"/>
            <w:noWrap/>
            <w:vAlign w:val="center"/>
            <w:hideMark/>
          </w:tcPr>
          <w:p w14:paraId="76D6A262" w14:textId="5F93CD46"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Cs/>
              </w:rPr>
            </w:pPr>
            <w:r w:rsidRPr="00617370">
              <w:rPr>
                <w:bCs/>
              </w:rPr>
              <w:t>1 375</w:t>
            </w:r>
          </w:p>
        </w:tc>
      </w:tr>
      <w:tr w:rsidR="00A53800" w:rsidRPr="00617370" w14:paraId="54E9453D"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auto"/>
            </w:tcBorders>
            <w:noWrap/>
            <w:hideMark/>
          </w:tcPr>
          <w:p w14:paraId="2E992085" w14:textId="77777777" w:rsidR="00EB2960" w:rsidRPr="00617370" w:rsidRDefault="00EB2960" w:rsidP="002634BA">
            <w:pPr>
              <w:pStyle w:val="Tabletext"/>
              <w:rPr>
                <w:b w:val="0"/>
              </w:rPr>
            </w:pPr>
            <w:r w:rsidRPr="00617370">
              <w:rPr>
                <w:b w:val="0"/>
              </w:rPr>
              <w:t>Indigenous</w:t>
            </w:r>
          </w:p>
        </w:tc>
        <w:tc>
          <w:tcPr>
            <w:tcW w:w="879" w:type="dxa"/>
            <w:tcBorders>
              <w:bottom w:val="single" w:sz="4" w:space="0" w:color="auto"/>
            </w:tcBorders>
            <w:noWrap/>
            <w:vAlign w:val="center"/>
            <w:hideMark/>
          </w:tcPr>
          <w:p w14:paraId="438161C9" w14:textId="33CF51A5"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151</w:t>
            </w:r>
          </w:p>
        </w:tc>
        <w:tc>
          <w:tcPr>
            <w:tcW w:w="709" w:type="dxa"/>
            <w:tcBorders>
              <w:bottom w:val="single" w:sz="4" w:space="0" w:color="auto"/>
            </w:tcBorders>
            <w:noWrap/>
            <w:vAlign w:val="center"/>
            <w:hideMark/>
          </w:tcPr>
          <w:p w14:paraId="55914332" w14:textId="3387F4C0"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67.4</w:t>
            </w:r>
          </w:p>
        </w:tc>
        <w:tc>
          <w:tcPr>
            <w:tcW w:w="707" w:type="dxa"/>
            <w:tcBorders>
              <w:bottom w:val="single" w:sz="4" w:space="0" w:color="auto"/>
            </w:tcBorders>
            <w:noWrap/>
            <w:vAlign w:val="center"/>
            <w:hideMark/>
          </w:tcPr>
          <w:p w14:paraId="40CBB393" w14:textId="0346BD01"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73</w:t>
            </w:r>
          </w:p>
        </w:tc>
        <w:tc>
          <w:tcPr>
            <w:tcW w:w="708" w:type="dxa"/>
            <w:tcBorders>
              <w:bottom w:val="single" w:sz="4" w:space="0" w:color="auto"/>
            </w:tcBorders>
            <w:noWrap/>
            <w:vAlign w:val="center"/>
            <w:hideMark/>
          </w:tcPr>
          <w:p w14:paraId="61B4E325" w14:textId="24A5EBD9"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32.6</w:t>
            </w:r>
          </w:p>
        </w:tc>
        <w:tc>
          <w:tcPr>
            <w:tcW w:w="623" w:type="dxa"/>
            <w:tcBorders>
              <w:bottom w:val="single" w:sz="4" w:space="0" w:color="auto"/>
              <w:right w:val="single" w:sz="4" w:space="0" w:color="auto"/>
            </w:tcBorders>
            <w:shd w:val="clear" w:color="auto" w:fill="F2F2F2" w:themeFill="background1" w:themeFillShade="F2"/>
            <w:noWrap/>
            <w:vAlign w:val="center"/>
            <w:hideMark/>
          </w:tcPr>
          <w:p w14:paraId="737AECFD" w14:textId="4ED072E0"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224</w:t>
            </w:r>
          </w:p>
        </w:tc>
        <w:tc>
          <w:tcPr>
            <w:tcW w:w="624" w:type="dxa"/>
            <w:tcBorders>
              <w:left w:val="single" w:sz="4" w:space="0" w:color="auto"/>
              <w:bottom w:val="single" w:sz="4" w:space="0" w:color="auto"/>
            </w:tcBorders>
            <w:noWrap/>
            <w:vAlign w:val="center"/>
            <w:hideMark/>
          </w:tcPr>
          <w:p w14:paraId="4DE28AFD" w14:textId="77777777"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14</w:t>
            </w:r>
          </w:p>
        </w:tc>
        <w:tc>
          <w:tcPr>
            <w:tcW w:w="569" w:type="dxa"/>
            <w:tcBorders>
              <w:bottom w:val="single" w:sz="4" w:space="0" w:color="auto"/>
            </w:tcBorders>
            <w:noWrap/>
            <w:vAlign w:val="center"/>
            <w:hideMark/>
          </w:tcPr>
          <w:p w14:paraId="06FAE71A" w14:textId="77777777"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13.5</w:t>
            </w:r>
          </w:p>
        </w:tc>
        <w:tc>
          <w:tcPr>
            <w:tcW w:w="708" w:type="dxa"/>
            <w:tcBorders>
              <w:bottom w:val="single" w:sz="4" w:space="0" w:color="auto"/>
            </w:tcBorders>
            <w:noWrap/>
            <w:vAlign w:val="center"/>
            <w:hideMark/>
          </w:tcPr>
          <w:p w14:paraId="62808618"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90</w:t>
            </w:r>
          </w:p>
        </w:tc>
        <w:tc>
          <w:tcPr>
            <w:tcW w:w="732" w:type="dxa"/>
            <w:gridSpan w:val="2"/>
            <w:tcBorders>
              <w:bottom w:val="single" w:sz="4" w:space="0" w:color="auto"/>
            </w:tcBorders>
            <w:noWrap/>
            <w:vAlign w:val="center"/>
            <w:hideMark/>
          </w:tcPr>
          <w:p w14:paraId="77A522A7"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86.5</w:t>
            </w:r>
          </w:p>
        </w:tc>
        <w:tc>
          <w:tcPr>
            <w:tcW w:w="686" w:type="dxa"/>
            <w:tcBorders>
              <w:bottom w:val="single" w:sz="4" w:space="0" w:color="auto"/>
            </w:tcBorders>
            <w:shd w:val="clear" w:color="auto" w:fill="F2F2F2" w:themeFill="background1" w:themeFillShade="F2"/>
            <w:noWrap/>
            <w:vAlign w:val="center"/>
            <w:hideMark/>
          </w:tcPr>
          <w:p w14:paraId="152F5C01"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104</w:t>
            </w:r>
          </w:p>
        </w:tc>
      </w:tr>
      <w:tr w:rsidR="00A53800" w:rsidRPr="00617370" w14:paraId="12440F9B"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bottom w:val="single" w:sz="8" w:space="0" w:color="auto"/>
            </w:tcBorders>
            <w:noWrap/>
            <w:hideMark/>
          </w:tcPr>
          <w:p w14:paraId="14121BD1" w14:textId="77777777" w:rsidR="00EB2960" w:rsidRPr="00617370" w:rsidRDefault="00EB2960">
            <w:pPr>
              <w:pStyle w:val="Tabletext"/>
              <w:rPr>
                <w:bCs/>
              </w:rPr>
            </w:pPr>
            <w:r w:rsidRPr="00617370">
              <w:rPr>
                <w:bCs/>
              </w:rPr>
              <w:t>Language spoken at home</w:t>
            </w:r>
          </w:p>
        </w:tc>
        <w:tc>
          <w:tcPr>
            <w:tcW w:w="879" w:type="dxa"/>
            <w:tcBorders>
              <w:top w:val="single" w:sz="4" w:space="0" w:color="auto"/>
              <w:bottom w:val="single" w:sz="8" w:space="0" w:color="auto"/>
            </w:tcBorders>
            <w:noWrap/>
            <w:vAlign w:val="center"/>
            <w:hideMark/>
          </w:tcPr>
          <w:p w14:paraId="15C1CE8F"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rPr>
                <w:bCs/>
              </w:rPr>
            </w:pPr>
          </w:p>
        </w:tc>
        <w:tc>
          <w:tcPr>
            <w:tcW w:w="709" w:type="dxa"/>
            <w:tcBorders>
              <w:top w:val="single" w:sz="4" w:space="0" w:color="auto"/>
              <w:bottom w:val="single" w:sz="8" w:space="0" w:color="auto"/>
            </w:tcBorders>
            <w:noWrap/>
            <w:vAlign w:val="center"/>
            <w:hideMark/>
          </w:tcPr>
          <w:p w14:paraId="471E0F2D"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
              </w:rPr>
            </w:pPr>
          </w:p>
        </w:tc>
        <w:tc>
          <w:tcPr>
            <w:tcW w:w="707" w:type="dxa"/>
            <w:tcBorders>
              <w:top w:val="single" w:sz="4" w:space="0" w:color="auto"/>
              <w:bottom w:val="single" w:sz="8" w:space="0" w:color="auto"/>
            </w:tcBorders>
            <w:noWrap/>
            <w:vAlign w:val="center"/>
            <w:hideMark/>
          </w:tcPr>
          <w:p w14:paraId="67391945"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p>
        </w:tc>
        <w:tc>
          <w:tcPr>
            <w:tcW w:w="708" w:type="dxa"/>
            <w:tcBorders>
              <w:top w:val="single" w:sz="4" w:space="0" w:color="auto"/>
              <w:bottom w:val="single" w:sz="8" w:space="0" w:color="auto"/>
            </w:tcBorders>
            <w:noWrap/>
            <w:vAlign w:val="center"/>
            <w:hideMark/>
          </w:tcPr>
          <w:p w14:paraId="148B69CD"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rPr>
                <w:b/>
              </w:rPr>
            </w:pPr>
          </w:p>
        </w:tc>
        <w:tc>
          <w:tcPr>
            <w:tcW w:w="623" w:type="dxa"/>
            <w:tcBorders>
              <w:top w:val="single" w:sz="4" w:space="0" w:color="auto"/>
              <w:bottom w:val="single" w:sz="8" w:space="0" w:color="auto"/>
              <w:right w:val="single" w:sz="4" w:space="0" w:color="auto"/>
            </w:tcBorders>
            <w:shd w:val="clear" w:color="auto" w:fill="F2F2F2" w:themeFill="background1" w:themeFillShade="F2"/>
            <w:noWrap/>
            <w:vAlign w:val="center"/>
            <w:hideMark/>
          </w:tcPr>
          <w:p w14:paraId="43668902" w14:textId="77777777"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pPr>
          </w:p>
        </w:tc>
        <w:tc>
          <w:tcPr>
            <w:tcW w:w="624" w:type="dxa"/>
            <w:tcBorders>
              <w:top w:val="single" w:sz="4" w:space="0" w:color="auto"/>
              <w:left w:val="single" w:sz="4" w:space="0" w:color="auto"/>
              <w:bottom w:val="single" w:sz="8" w:space="0" w:color="auto"/>
            </w:tcBorders>
            <w:noWrap/>
            <w:vAlign w:val="center"/>
            <w:hideMark/>
          </w:tcPr>
          <w:p w14:paraId="4FA2D9A8" w14:textId="77777777"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p>
        </w:tc>
        <w:tc>
          <w:tcPr>
            <w:tcW w:w="569" w:type="dxa"/>
            <w:tcBorders>
              <w:top w:val="single" w:sz="4" w:space="0" w:color="auto"/>
              <w:bottom w:val="single" w:sz="8" w:space="0" w:color="auto"/>
            </w:tcBorders>
            <w:noWrap/>
            <w:vAlign w:val="center"/>
            <w:hideMark/>
          </w:tcPr>
          <w:p w14:paraId="3584EA42" w14:textId="77777777"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rPr>
                <w:b/>
              </w:rPr>
            </w:pPr>
          </w:p>
        </w:tc>
        <w:tc>
          <w:tcPr>
            <w:tcW w:w="708" w:type="dxa"/>
            <w:tcBorders>
              <w:top w:val="single" w:sz="4" w:space="0" w:color="auto"/>
              <w:bottom w:val="single" w:sz="8" w:space="0" w:color="auto"/>
            </w:tcBorders>
            <w:noWrap/>
            <w:vAlign w:val="center"/>
            <w:hideMark/>
          </w:tcPr>
          <w:p w14:paraId="471BB2DA"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p>
        </w:tc>
        <w:tc>
          <w:tcPr>
            <w:tcW w:w="732" w:type="dxa"/>
            <w:gridSpan w:val="2"/>
            <w:tcBorders>
              <w:top w:val="single" w:sz="4" w:space="0" w:color="auto"/>
              <w:bottom w:val="single" w:sz="8" w:space="0" w:color="auto"/>
            </w:tcBorders>
            <w:noWrap/>
            <w:vAlign w:val="center"/>
            <w:hideMark/>
          </w:tcPr>
          <w:p w14:paraId="0CA93CF9"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rPr>
                <w:b/>
              </w:rPr>
            </w:pPr>
          </w:p>
        </w:tc>
        <w:tc>
          <w:tcPr>
            <w:tcW w:w="686" w:type="dxa"/>
            <w:tcBorders>
              <w:top w:val="single" w:sz="4" w:space="0" w:color="auto"/>
              <w:bottom w:val="single" w:sz="8" w:space="0" w:color="auto"/>
            </w:tcBorders>
            <w:shd w:val="clear" w:color="auto" w:fill="F2F2F2" w:themeFill="background1" w:themeFillShade="F2"/>
            <w:noWrap/>
            <w:vAlign w:val="center"/>
            <w:hideMark/>
          </w:tcPr>
          <w:p w14:paraId="5394E5E3"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p>
        </w:tc>
      </w:tr>
      <w:tr w:rsidR="00EB2960" w:rsidRPr="00617370" w14:paraId="782E52BE"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8" w:space="0" w:color="auto"/>
            </w:tcBorders>
            <w:noWrap/>
            <w:hideMark/>
          </w:tcPr>
          <w:p w14:paraId="16DCCEAE" w14:textId="541B8B14" w:rsidR="00EB2960" w:rsidRPr="00617370" w:rsidRDefault="00EB2960" w:rsidP="00E9650E">
            <w:pPr>
              <w:pStyle w:val="Tabletext"/>
              <w:rPr>
                <w:bCs/>
              </w:rPr>
            </w:pPr>
            <w:r w:rsidRPr="00617370">
              <w:rPr>
                <w:b w:val="0"/>
              </w:rPr>
              <w:t>English</w:t>
            </w:r>
          </w:p>
        </w:tc>
        <w:tc>
          <w:tcPr>
            <w:tcW w:w="879" w:type="dxa"/>
            <w:tcBorders>
              <w:top w:val="single" w:sz="8" w:space="0" w:color="auto"/>
            </w:tcBorders>
            <w:noWrap/>
            <w:vAlign w:val="center"/>
            <w:hideMark/>
          </w:tcPr>
          <w:p w14:paraId="2FF1B8F0" w14:textId="522DA1F1"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1 772</w:t>
            </w:r>
          </w:p>
        </w:tc>
        <w:tc>
          <w:tcPr>
            <w:tcW w:w="709" w:type="dxa"/>
            <w:tcBorders>
              <w:top w:val="single" w:sz="8" w:space="0" w:color="auto"/>
            </w:tcBorders>
            <w:noWrap/>
            <w:vAlign w:val="center"/>
            <w:hideMark/>
          </w:tcPr>
          <w:p w14:paraId="67508CDA" w14:textId="3685196B"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84.3</w:t>
            </w:r>
          </w:p>
        </w:tc>
        <w:tc>
          <w:tcPr>
            <w:tcW w:w="707" w:type="dxa"/>
            <w:tcBorders>
              <w:top w:val="single" w:sz="8" w:space="0" w:color="auto"/>
            </w:tcBorders>
            <w:noWrap/>
            <w:vAlign w:val="center"/>
            <w:hideMark/>
          </w:tcPr>
          <w:p w14:paraId="183873D8" w14:textId="711B9DA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329</w:t>
            </w:r>
          </w:p>
        </w:tc>
        <w:tc>
          <w:tcPr>
            <w:tcW w:w="708" w:type="dxa"/>
            <w:tcBorders>
              <w:top w:val="single" w:sz="8" w:space="0" w:color="auto"/>
            </w:tcBorders>
            <w:noWrap/>
            <w:vAlign w:val="center"/>
            <w:hideMark/>
          </w:tcPr>
          <w:p w14:paraId="48C0E77B" w14:textId="6F5A5AD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15.7</w:t>
            </w:r>
          </w:p>
        </w:tc>
        <w:tc>
          <w:tcPr>
            <w:tcW w:w="623" w:type="dxa"/>
            <w:tcBorders>
              <w:top w:val="single" w:sz="8" w:space="0" w:color="auto"/>
              <w:right w:val="single" w:sz="4" w:space="0" w:color="auto"/>
            </w:tcBorders>
            <w:shd w:val="clear" w:color="auto" w:fill="F2F2F2" w:themeFill="background1" w:themeFillShade="F2"/>
            <w:noWrap/>
            <w:vAlign w:val="center"/>
            <w:hideMark/>
          </w:tcPr>
          <w:p w14:paraId="2B7D3480" w14:textId="57598766"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2 101</w:t>
            </w:r>
          </w:p>
        </w:tc>
        <w:tc>
          <w:tcPr>
            <w:tcW w:w="624" w:type="dxa"/>
            <w:tcBorders>
              <w:top w:val="single" w:sz="8" w:space="0" w:color="auto"/>
              <w:left w:val="single" w:sz="4" w:space="0" w:color="auto"/>
            </w:tcBorders>
            <w:noWrap/>
            <w:vAlign w:val="center"/>
            <w:hideMark/>
          </w:tcPr>
          <w:p w14:paraId="7D53CBAB" w14:textId="698627F6"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377</w:t>
            </w:r>
          </w:p>
        </w:tc>
        <w:tc>
          <w:tcPr>
            <w:tcW w:w="569" w:type="dxa"/>
            <w:tcBorders>
              <w:top w:val="single" w:sz="8" w:space="0" w:color="auto"/>
            </w:tcBorders>
            <w:noWrap/>
            <w:vAlign w:val="center"/>
            <w:hideMark/>
          </w:tcPr>
          <w:p w14:paraId="12B94FAB" w14:textId="35CD7334"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28.0</w:t>
            </w:r>
          </w:p>
        </w:tc>
        <w:tc>
          <w:tcPr>
            <w:tcW w:w="708" w:type="dxa"/>
            <w:tcBorders>
              <w:top w:val="single" w:sz="8" w:space="0" w:color="auto"/>
            </w:tcBorders>
            <w:noWrap/>
            <w:vAlign w:val="center"/>
            <w:hideMark/>
          </w:tcPr>
          <w:p w14:paraId="6A320000" w14:textId="77A0D2F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972</w:t>
            </w:r>
          </w:p>
        </w:tc>
        <w:tc>
          <w:tcPr>
            <w:tcW w:w="732" w:type="dxa"/>
            <w:gridSpan w:val="2"/>
            <w:tcBorders>
              <w:top w:val="single" w:sz="8" w:space="0" w:color="auto"/>
            </w:tcBorders>
            <w:noWrap/>
            <w:vAlign w:val="center"/>
            <w:hideMark/>
          </w:tcPr>
          <w:p w14:paraId="1B36F8A3" w14:textId="3FEB9243"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72.1</w:t>
            </w:r>
          </w:p>
        </w:tc>
        <w:tc>
          <w:tcPr>
            <w:tcW w:w="686" w:type="dxa"/>
            <w:tcBorders>
              <w:top w:val="single" w:sz="8" w:space="0" w:color="auto"/>
            </w:tcBorders>
            <w:shd w:val="clear" w:color="auto" w:fill="F2F2F2" w:themeFill="background1" w:themeFillShade="F2"/>
            <w:noWrap/>
            <w:vAlign w:val="center"/>
            <w:hideMark/>
          </w:tcPr>
          <w:p w14:paraId="26ED49A0" w14:textId="602B70F2"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1 349</w:t>
            </w:r>
          </w:p>
        </w:tc>
      </w:tr>
      <w:tr w:rsidR="00EB2960" w:rsidRPr="00617370" w14:paraId="0E3250DE"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24293823" w14:textId="47BBE77A" w:rsidR="00EB2960" w:rsidRPr="00617370" w:rsidRDefault="00EB2960" w:rsidP="00E9650E">
            <w:pPr>
              <w:pStyle w:val="Tabletext"/>
              <w:rPr>
                <w:b w:val="0"/>
              </w:rPr>
            </w:pPr>
            <w:r w:rsidRPr="00617370">
              <w:rPr>
                <w:b w:val="0"/>
              </w:rPr>
              <w:t>Language other than English</w:t>
            </w:r>
          </w:p>
        </w:tc>
        <w:tc>
          <w:tcPr>
            <w:tcW w:w="879" w:type="dxa"/>
            <w:noWrap/>
            <w:vAlign w:val="center"/>
            <w:hideMark/>
          </w:tcPr>
          <w:p w14:paraId="5C5B6CF5" w14:textId="4693B956"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180</w:t>
            </w:r>
          </w:p>
        </w:tc>
        <w:tc>
          <w:tcPr>
            <w:tcW w:w="709" w:type="dxa"/>
            <w:noWrap/>
            <w:vAlign w:val="center"/>
            <w:hideMark/>
          </w:tcPr>
          <w:p w14:paraId="3A6FCF77" w14:textId="4C891ED9"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88.2</w:t>
            </w:r>
          </w:p>
        </w:tc>
        <w:tc>
          <w:tcPr>
            <w:tcW w:w="707" w:type="dxa"/>
            <w:noWrap/>
            <w:vAlign w:val="center"/>
            <w:hideMark/>
          </w:tcPr>
          <w:p w14:paraId="6E76E79D" w14:textId="733F2E3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24</w:t>
            </w:r>
          </w:p>
        </w:tc>
        <w:tc>
          <w:tcPr>
            <w:tcW w:w="708" w:type="dxa"/>
            <w:noWrap/>
            <w:vAlign w:val="center"/>
            <w:hideMark/>
          </w:tcPr>
          <w:p w14:paraId="62A054A4" w14:textId="06D4C70D"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11.8</w:t>
            </w:r>
          </w:p>
        </w:tc>
        <w:tc>
          <w:tcPr>
            <w:tcW w:w="623" w:type="dxa"/>
            <w:tcBorders>
              <w:right w:val="single" w:sz="4" w:space="0" w:color="auto"/>
            </w:tcBorders>
            <w:shd w:val="clear" w:color="auto" w:fill="F2F2F2" w:themeFill="background1" w:themeFillShade="F2"/>
            <w:noWrap/>
            <w:vAlign w:val="center"/>
            <w:hideMark/>
          </w:tcPr>
          <w:p w14:paraId="3BDBF2EB" w14:textId="0BC64385"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rPr>
                <w:bCs/>
              </w:rPr>
            </w:pPr>
            <w:r w:rsidRPr="00617370">
              <w:rPr>
                <w:bCs/>
              </w:rPr>
              <w:t>204</w:t>
            </w:r>
          </w:p>
        </w:tc>
        <w:tc>
          <w:tcPr>
            <w:tcW w:w="624" w:type="dxa"/>
            <w:tcBorders>
              <w:left w:val="single" w:sz="4" w:space="0" w:color="auto"/>
            </w:tcBorders>
            <w:noWrap/>
            <w:vAlign w:val="center"/>
            <w:hideMark/>
          </w:tcPr>
          <w:p w14:paraId="0002E4F6" w14:textId="40A24B1B"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r w:rsidRPr="00617370">
              <w:t>46</w:t>
            </w:r>
          </w:p>
        </w:tc>
        <w:tc>
          <w:tcPr>
            <w:tcW w:w="569" w:type="dxa"/>
            <w:noWrap/>
            <w:vAlign w:val="center"/>
            <w:hideMark/>
          </w:tcPr>
          <w:p w14:paraId="0A165EB4" w14:textId="28EB5F3E"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pPr>
            <w:r w:rsidRPr="00617370">
              <w:t>35.7</w:t>
            </w:r>
          </w:p>
        </w:tc>
        <w:tc>
          <w:tcPr>
            <w:tcW w:w="708" w:type="dxa"/>
            <w:noWrap/>
            <w:vAlign w:val="center"/>
            <w:hideMark/>
          </w:tcPr>
          <w:p w14:paraId="173BCEC0" w14:textId="7D3008D9"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83</w:t>
            </w:r>
          </w:p>
        </w:tc>
        <w:tc>
          <w:tcPr>
            <w:tcW w:w="732" w:type="dxa"/>
            <w:gridSpan w:val="2"/>
            <w:noWrap/>
            <w:vAlign w:val="center"/>
            <w:hideMark/>
          </w:tcPr>
          <w:p w14:paraId="6C775544" w14:textId="75D6D9DF"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64.3</w:t>
            </w:r>
          </w:p>
        </w:tc>
        <w:tc>
          <w:tcPr>
            <w:tcW w:w="686" w:type="dxa"/>
            <w:shd w:val="clear" w:color="auto" w:fill="F2F2F2" w:themeFill="background1" w:themeFillShade="F2"/>
            <w:noWrap/>
            <w:vAlign w:val="center"/>
            <w:hideMark/>
          </w:tcPr>
          <w:p w14:paraId="390EF74E" w14:textId="68F2F8B9"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Cs/>
              </w:rPr>
            </w:pPr>
            <w:r w:rsidRPr="00617370">
              <w:rPr>
                <w:bCs/>
              </w:rPr>
              <w:t>129</w:t>
            </w:r>
          </w:p>
        </w:tc>
      </w:tr>
      <w:tr w:rsidR="00A53800" w:rsidRPr="00617370" w14:paraId="125E956A"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auto"/>
            </w:tcBorders>
            <w:noWrap/>
            <w:hideMark/>
          </w:tcPr>
          <w:p w14:paraId="48DA9D26" w14:textId="7D4928C4" w:rsidR="00EB2960" w:rsidRPr="00617370" w:rsidRDefault="00EB2960" w:rsidP="00E9650E">
            <w:pPr>
              <w:pStyle w:val="Tabletext"/>
              <w:rPr>
                <w:bCs/>
              </w:rPr>
            </w:pPr>
            <w:r w:rsidRPr="00617370">
              <w:rPr>
                <w:b w:val="0"/>
              </w:rPr>
              <w:t>Missing</w:t>
            </w:r>
          </w:p>
        </w:tc>
        <w:tc>
          <w:tcPr>
            <w:tcW w:w="879" w:type="dxa"/>
            <w:tcBorders>
              <w:bottom w:val="single" w:sz="4" w:space="0" w:color="auto"/>
            </w:tcBorders>
            <w:noWrap/>
            <w:vAlign w:val="center"/>
            <w:hideMark/>
          </w:tcPr>
          <w:p w14:paraId="05CB9D1D" w14:textId="66377626"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4</w:t>
            </w:r>
          </w:p>
        </w:tc>
        <w:tc>
          <w:tcPr>
            <w:tcW w:w="709" w:type="dxa"/>
            <w:tcBorders>
              <w:bottom w:val="single" w:sz="4" w:space="0" w:color="auto"/>
            </w:tcBorders>
            <w:noWrap/>
            <w:vAlign w:val="center"/>
            <w:hideMark/>
          </w:tcPr>
          <w:p w14:paraId="6F5720FF" w14:textId="73947DEA"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80.0</w:t>
            </w:r>
          </w:p>
        </w:tc>
        <w:tc>
          <w:tcPr>
            <w:tcW w:w="707" w:type="dxa"/>
            <w:tcBorders>
              <w:bottom w:val="single" w:sz="4" w:space="0" w:color="auto"/>
            </w:tcBorders>
            <w:noWrap/>
            <w:vAlign w:val="center"/>
            <w:hideMark/>
          </w:tcPr>
          <w:p w14:paraId="7C99D111" w14:textId="342C1B9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w:t>
            </w:r>
          </w:p>
        </w:tc>
        <w:tc>
          <w:tcPr>
            <w:tcW w:w="708" w:type="dxa"/>
            <w:tcBorders>
              <w:bottom w:val="single" w:sz="4" w:space="0" w:color="auto"/>
            </w:tcBorders>
            <w:noWrap/>
            <w:vAlign w:val="center"/>
            <w:hideMark/>
          </w:tcPr>
          <w:p w14:paraId="33F671E3" w14:textId="05FA6C62"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20.0</w:t>
            </w:r>
          </w:p>
        </w:tc>
        <w:tc>
          <w:tcPr>
            <w:tcW w:w="623" w:type="dxa"/>
            <w:tcBorders>
              <w:bottom w:val="single" w:sz="4" w:space="0" w:color="auto"/>
              <w:right w:val="single" w:sz="4" w:space="0" w:color="auto"/>
            </w:tcBorders>
            <w:shd w:val="clear" w:color="auto" w:fill="F2F2F2" w:themeFill="background1" w:themeFillShade="F2"/>
            <w:noWrap/>
            <w:vAlign w:val="center"/>
            <w:hideMark/>
          </w:tcPr>
          <w:p w14:paraId="107BDCEC" w14:textId="2CED00F9"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5</w:t>
            </w:r>
          </w:p>
        </w:tc>
        <w:tc>
          <w:tcPr>
            <w:tcW w:w="624" w:type="dxa"/>
            <w:tcBorders>
              <w:left w:val="single" w:sz="4" w:space="0" w:color="auto"/>
              <w:bottom w:val="single" w:sz="4" w:space="0" w:color="auto"/>
            </w:tcBorders>
            <w:noWrap/>
            <w:vAlign w:val="center"/>
            <w:hideMark/>
          </w:tcPr>
          <w:p w14:paraId="7AD6F9D6" w14:textId="3929684D"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0</w:t>
            </w:r>
          </w:p>
        </w:tc>
        <w:tc>
          <w:tcPr>
            <w:tcW w:w="569" w:type="dxa"/>
            <w:tcBorders>
              <w:bottom w:val="single" w:sz="4" w:space="0" w:color="auto"/>
            </w:tcBorders>
            <w:noWrap/>
            <w:vAlign w:val="center"/>
            <w:hideMark/>
          </w:tcPr>
          <w:p w14:paraId="243B781C" w14:textId="704F38FB"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0.0</w:t>
            </w:r>
          </w:p>
        </w:tc>
        <w:tc>
          <w:tcPr>
            <w:tcW w:w="708" w:type="dxa"/>
            <w:tcBorders>
              <w:bottom w:val="single" w:sz="4" w:space="0" w:color="auto"/>
            </w:tcBorders>
            <w:noWrap/>
            <w:vAlign w:val="center"/>
            <w:hideMark/>
          </w:tcPr>
          <w:p w14:paraId="187B9D45" w14:textId="2B083455"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1</w:t>
            </w:r>
          </w:p>
        </w:tc>
        <w:tc>
          <w:tcPr>
            <w:tcW w:w="732" w:type="dxa"/>
            <w:gridSpan w:val="2"/>
            <w:tcBorders>
              <w:bottom w:val="single" w:sz="4" w:space="0" w:color="auto"/>
            </w:tcBorders>
            <w:noWrap/>
            <w:vAlign w:val="center"/>
            <w:hideMark/>
          </w:tcPr>
          <w:p w14:paraId="594D2466" w14:textId="5D78EC7F"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100.0</w:t>
            </w:r>
          </w:p>
        </w:tc>
        <w:tc>
          <w:tcPr>
            <w:tcW w:w="686" w:type="dxa"/>
            <w:tcBorders>
              <w:bottom w:val="single" w:sz="4" w:space="0" w:color="auto"/>
            </w:tcBorders>
            <w:shd w:val="clear" w:color="auto" w:fill="F2F2F2" w:themeFill="background1" w:themeFillShade="F2"/>
            <w:noWrap/>
            <w:vAlign w:val="center"/>
            <w:hideMark/>
          </w:tcPr>
          <w:p w14:paraId="7F7A5011" w14:textId="76808775"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1</w:t>
            </w:r>
          </w:p>
        </w:tc>
      </w:tr>
      <w:tr w:rsidR="00A53800" w:rsidRPr="00617370" w14:paraId="549EB559"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3" w:type="dxa"/>
            <w:gridSpan w:val="2"/>
            <w:tcBorders>
              <w:top w:val="single" w:sz="4" w:space="0" w:color="auto"/>
              <w:bottom w:val="single" w:sz="4" w:space="0" w:color="auto"/>
            </w:tcBorders>
            <w:noWrap/>
            <w:vAlign w:val="center"/>
            <w:hideMark/>
          </w:tcPr>
          <w:p w14:paraId="1D6139F2" w14:textId="5ED2EA4C" w:rsidR="00EB2960" w:rsidRPr="00617370" w:rsidRDefault="00EB2960" w:rsidP="00A53800">
            <w:pPr>
              <w:pStyle w:val="Tabletext"/>
              <w:ind w:right="113"/>
              <w:jc w:val="left"/>
              <w:rPr>
                <w:bCs/>
              </w:rPr>
            </w:pPr>
            <w:r w:rsidRPr="00617370">
              <w:rPr>
                <w:bCs/>
              </w:rPr>
              <w:t>Socioeconomic status (quintiles)</w:t>
            </w:r>
          </w:p>
        </w:tc>
        <w:tc>
          <w:tcPr>
            <w:tcW w:w="709" w:type="dxa"/>
            <w:tcBorders>
              <w:top w:val="single" w:sz="4" w:space="0" w:color="auto"/>
              <w:bottom w:val="single" w:sz="4" w:space="0" w:color="auto"/>
            </w:tcBorders>
            <w:noWrap/>
            <w:vAlign w:val="center"/>
            <w:hideMark/>
          </w:tcPr>
          <w:p w14:paraId="35F8C26B" w14:textId="77777777" w:rsidR="00EB2960" w:rsidRPr="00617370" w:rsidRDefault="00EB2960" w:rsidP="00462480">
            <w:pPr>
              <w:pStyle w:val="Tabletext"/>
              <w:ind w:right="57"/>
              <w:jc w:val="center"/>
              <w:cnfStyle w:val="000000100000" w:firstRow="0" w:lastRow="0" w:firstColumn="0" w:lastColumn="0" w:oddVBand="0" w:evenVBand="0" w:oddHBand="1" w:evenHBand="0" w:firstRowFirstColumn="0" w:firstRowLastColumn="0" w:lastRowFirstColumn="0" w:lastRowLastColumn="0"/>
              <w:rPr>
                <w:b/>
              </w:rPr>
            </w:pPr>
          </w:p>
        </w:tc>
        <w:tc>
          <w:tcPr>
            <w:tcW w:w="707" w:type="dxa"/>
            <w:tcBorders>
              <w:top w:val="single" w:sz="4" w:space="0" w:color="auto"/>
              <w:bottom w:val="single" w:sz="4" w:space="0" w:color="auto"/>
            </w:tcBorders>
            <w:noWrap/>
            <w:vAlign w:val="center"/>
            <w:hideMark/>
          </w:tcPr>
          <w:p w14:paraId="234763FB" w14:textId="237DA9CC"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pPr>
          </w:p>
        </w:tc>
        <w:tc>
          <w:tcPr>
            <w:tcW w:w="708" w:type="dxa"/>
            <w:tcBorders>
              <w:top w:val="single" w:sz="4" w:space="0" w:color="auto"/>
              <w:bottom w:val="single" w:sz="4" w:space="0" w:color="auto"/>
            </w:tcBorders>
            <w:noWrap/>
            <w:vAlign w:val="center"/>
            <w:hideMark/>
          </w:tcPr>
          <w:p w14:paraId="04D35740" w14:textId="790B5C6B"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rPr>
                <w:b/>
              </w:rPr>
            </w:pPr>
          </w:p>
        </w:tc>
        <w:tc>
          <w:tcPr>
            <w:tcW w:w="623"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14:paraId="3AC6D52B" w14:textId="77777777" w:rsidR="00EB2960" w:rsidRPr="00617370" w:rsidRDefault="00EB2960" w:rsidP="00EB2960">
            <w:pPr>
              <w:pStyle w:val="Tabletext"/>
              <w:jc w:val="center"/>
              <w:cnfStyle w:val="000000100000" w:firstRow="0" w:lastRow="0" w:firstColumn="0" w:lastColumn="0" w:oddVBand="0" w:evenVBand="0" w:oddHBand="1" w:evenHBand="0" w:firstRowFirstColumn="0" w:firstRowLastColumn="0" w:lastRowFirstColumn="0" w:lastRowLastColumn="0"/>
            </w:pPr>
          </w:p>
        </w:tc>
        <w:tc>
          <w:tcPr>
            <w:tcW w:w="624" w:type="dxa"/>
            <w:tcBorders>
              <w:top w:val="single" w:sz="4" w:space="0" w:color="auto"/>
              <w:left w:val="single" w:sz="4" w:space="0" w:color="auto"/>
              <w:bottom w:val="single" w:sz="4" w:space="0" w:color="auto"/>
            </w:tcBorders>
            <w:noWrap/>
            <w:vAlign w:val="center"/>
            <w:hideMark/>
          </w:tcPr>
          <w:p w14:paraId="78EC9ED2" w14:textId="77777777" w:rsidR="00EB2960" w:rsidRPr="00617370" w:rsidRDefault="00EB2960" w:rsidP="00462480">
            <w:pPr>
              <w:pStyle w:val="Tabletext"/>
              <w:ind w:right="284"/>
              <w:jc w:val="center"/>
              <w:cnfStyle w:val="000000100000" w:firstRow="0" w:lastRow="0" w:firstColumn="0" w:lastColumn="0" w:oddVBand="0" w:evenVBand="0" w:oddHBand="1" w:evenHBand="0" w:firstRowFirstColumn="0" w:firstRowLastColumn="0" w:lastRowFirstColumn="0" w:lastRowLastColumn="0"/>
            </w:pPr>
          </w:p>
        </w:tc>
        <w:tc>
          <w:tcPr>
            <w:tcW w:w="569" w:type="dxa"/>
            <w:tcBorders>
              <w:top w:val="single" w:sz="4" w:space="0" w:color="auto"/>
              <w:bottom w:val="single" w:sz="4" w:space="0" w:color="auto"/>
            </w:tcBorders>
            <w:noWrap/>
            <w:vAlign w:val="center"/>
            <w:hideMark/>
          </w:tcPr>
          <w:p w14:paraId="2895D414" w14:textId="0A4A08D6" w:rsidR="00EB2960" w:rsidRPr="00617370" w:rsidRDefault="00EB2960" w:rsidP="00462480">
            <w:pPr>
              <w:pStyle w:val="Tabletext"/>
              <w:jc w:val="center"/>
              <w:cnfStyle w:val="000000100000" w:firstRow="0" w:lastRow="0" w:firstColumn="0" w:lastColumn="0" w:oddVBand="0" w:evenVBand="0" w:oddHBand="1" w:evenHBand="0" w:firstRowFirstColumn="0" w:firstRowLastColumn="0" w:lastRowFirstColumn="0" w:lastRowLastColumn="0"/>
              <w:rPr>
                <w:b/>
              </w:rPr>
            </w:pPr>
          </w:p>
        </w:tc>
        <w:tc>
          <w:tcPr>
            <w:tcW w:w="708" w:type="dxa"/>
            <w:tcBorders>
              <w:top w:val="single" w:sz="4" w:space="0" w:color="auto"/>
              <w:bottom w:val="single" w:sz="4" w:space="0" w:color="auto"/>
            </w:tcBorders>
            <w:noWrap/>
            <w:vAlign w:val="center"/>
            <w:hideMark/>
          </w:tcPr>
          <w:p w14:paraId="16F5CB6D" w14:textId="77777777" w:rsidR="00EB2960" w:rsidRPr="00617370" w:rsidRDefault="00EB2960" w:rsidP="00462480">
            <w:pPr>
              <w:pStyle w:val="Tabletext"/>
              <w:ind w:right="57"/>
              <w:jc w:val="center"/>
              <w:cnfStyle w:val="000000100000" w:firstRow="0" w:lastRow="0" w:firstColumn="0" w:lastColumn="0" w:oddVBand="0" w:evenVBand="0" w:oddHBand="1" w:evenHBand="0" w:firstRowFirstColumn="0" w:firstRowLastColumn="0" w:lastRowFirstColumn="0" w:lastRowLastColumn="0"/>
            </w:pPr>
          </w:p>
        </w:tc>
        <w:tc>
          <w:tcPr>
            <w:tcW w:w="732" w:type="dxa"/>
            <w:gridSpan w:val="2"/>
            <w:tcBorders>
              <w:top w:val="single" w:sz="4" w:space="0" w:color="auto"/>
              <w:bottom w:val="single" w:sz="4" w:space="0" w:color="auto"/>
            </w:tcBorders>
            <w:noWrap/>
            <w:vAlign w:val="center"/>
            <w:hideMark/>
          </w:tcPr>
          <w:p w14:paraId="6E89C500" w14:textId="77777777" w:rsidR="00EB2960" w:rsidRPr="00617370" w:rsidRDefault="00EB2960" w:rsidP="00A53800">
            <w:pPr>
              <w:pStyle w:val="Tabletext"/>
              <w:ind w:right="113"/>
              <w:jc w:val="center"/>
              <w:cnfStyle w:val="000000100000" w:firstRow="0" w:lastRow="0" w:firstColumn="0" w:lastColumn="0" w:oddVBand="0" w:evenVBand="0" w:oddHBand="1" w:evenHBand="0" w:firstRowFirstColumn="0" w:firstRowLastColumn="0" w:lastRowFirstColumn="0" w:lastRowLastColumn="0"/>
              <w:rPr>
                <w:b/>
              </w:rPr>
            </w:pPr>
          </w:p>
        </w:tc>
        <w:tc>
          <w:tcPr>
            <w:tcW w:w="686" w:type="dxa"/>
            <w:tcBorders>
              <w:top w:val="single" w:sz="4" w:space="0" w:color="auto"/>
              <w:bottom w:val="single" w:sz="4" w:space="0" w:color="auto"/>
            </w:tcBorders>
            <w:shd w:val="clear" w:color="auto" w:fill="F2F2F2" w:themeFill="background1" w:themeFillShade="F2"/>
            <w:noWrap/>
            <w:vAlign w:val="center"/>
            <w:hideMark/>
          </w:tcPr>
          <w:p w14:paraId="365777E1" w14:textId="77777777" w:rsidR="00EB2960" w:rsidRPr="00617370" w:rsidRDefault="00EB2960" w:rsidP="00462480">
            <w:pPr>
              <w:pStyle w:val="Tabletext"/>
              <w:ind w:right="57"/>
              <w:jc w:val="center"/>
              <w:cnfStyle w:val="000000100000" w:firstRow="0" w:lastRow="0" w:firstColumn="0" w:lastColumn="0" w:oddVBand="0" w:evenVBand="0" w:oddHBand="1" w:evenHBand="0" w:firstRowFirstColumn="0" w:firstRowLastColumn="0" w:lastRowFirstColumn="0" w:lastRowLastColumn="0"/>
            </w:pPr>
          </w:p>
        </w:tc>
      </w:tr>
      <w:tr w:rsidR="00EB2960" w:rsidRPr="00617370" w14:paraId="766C1522"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tcBorders>
            <w:noWrap/>
            <w:hideMark/>
          </w:tcPr>
          <w:p w14:paraId="67A00387" w14:textId="341E1B5F" w:rsidR="00EB2960" w:rsidRPr="00617370" w:rsidRDefault="00EB2960" w:rsidP="002634BA">
            <w:pPr>
              <w:pStyle w:val="Tabletext"/>
              <w:rPr>
                <w:b w:val="0"/>
              </w:rPr>
            </w:pPr>
            <w:r w:rsidRPr="00617370">
              <w:rPr>
                <w:b w:val="0"/>
              </w:rPr>
              <w:t>Lowest quintile</w:t>
            </w:r>
          </w:p>
        </w:tc>
        <w:tc>
          <w:tcPr>
            <w:tcW w:w="879" w:type="dxa"/>
            <w:tcBorders>
              <w:top w:val="single" w:sz="4" w:space="0" w:color="auto"/>
            </w:tcBorders>
            <w:noWrap/>
            <w:vAlign w:val="center"/>
            <w:hideMark/>
          </w:tcPr>
          <w:p w14:paraId="00B436FA" w14:textId="4800222D"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166</w:t>
            </w:r>
          </w:p>
        </w:tc>
        <w:tc>
          <w:tcPr>
            <w:tcW w:w="709" w:type="dxa"/>
            <w:tcBorders>
              <w:top w:val="single" w:sz="4" w:space="0" w:color="auto"/>
            </w:tcBorders>
            <w:noWrap/>
            <w:vAlign w:val="center"/>
            <w:hideMark/>
          </w:tcPr>
          <w:p w14:paraId="1CADBBA3" w14:textId="584A74DE"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69.8</w:t>
            </w:r>
          </w:p>
        </w:tc>
        <w:tc>
          <w:tcPr>
            <w:tcW w:w="707" w:type="dxa"/>
            <w:tcBorders>
              <w:top w:val="single" w:sz="4" w:space="0" w:color="auto"/>
            </w:tcBorders>
            <w:noWrap/>
            <w:vAlign w:val="center"/>
            <w:hideMark/>
          </w:tcPr>
          <w:p w14:paraId="50041323" w14:textId="736E777A"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72</w:t>
            </w:r>
          </w:p>
        </w:tc>
        <w:tc>
          <w:tcPr>
            <w:tcW w:w="708" w:type="dxa"/>
            <w:tcBorders>
              <w:top w:val="single" w:sz="4" w:space="0" w:color="auto"/>
            </w:tcBorders>
            <w:noWrap/>
            <w:vAlign w:val="center"/>
            <w:hideMark/>
          </w:tcPr>
          <w:p w14:paraId="475F1086" w14:textId="1310DFAE"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30.3</w:t>
            </w:r>
          </w:p>
        </w:tc>
        <w:tc>
          <w:tcPr>
            <w:tcW w:w="623" w:type="dxa"/>
            <w:tcBorders>
              <w:top w:val="single" w:sz="4" w:space="0" w:color="auto"/>
              <w:right w:val="single" w:sz="4" w:space="0" w:color="auto"/>
            </w:tcBorders>
            <w:shd w:val="clear" w:color="auto" w:fill="F2F2F2" w:themeFill="background1" w:themeFillShade="F2"/>
            <w:noWrap/>
            <w:vAlign w:val="center"/>
            <w:hideMark/>
          </w:tcPr>
          <w:p w14:paraId="2509CEEE" w14:textId="6AFA301E"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238</w:t>
            </w:r>
          </w:p>
        </w:tc>
        <w:tc>
          <w:tcPr>
            <w:tcW w:w="624" w:type="dxa"/>
            <w:tcBorders>
              <w:top w:val="single" w:sz="4" w:space="0" w:color="auto"/>
              <w:left w:val="single" w:sz="4" w:space="0" w:color="auto"/>
            </w:tcBorders>
            <w:noWrap/>
            <w:vAlign w:val="center"/>
            <w:hideMark/>
          </w:tcPr>
          <w:p w14:paraId="045449AB" w14:textId="77777777"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19</w:t>
            </w:r>
          </w:p>
        </w:tc>
        <w:tc>
          <w:tcPr>
            <w:tcW w:w="569" w:type="dxa"/>
            <w:tcBorders>
              <w:top w:val="single" w:sz="4" w:space="0" w:color="auto"/>
            </w:tcBorders>
            <w:noWrap/>
            <w:vAlign w:val="center"/>
            <w:hideMark/>
          </w:tcPr>
          <w:p w14:paraId="309AEA5B" w14:textId="107CE5C4"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18.6</w:t>
            </w:r>
          </w:p>
        </w:tc>
        <w:tc>
          <w:tcPr>
            <w:tcW w:w="708" w:type="dxa"/>
            <w:tcBorders>
              <w:top w:val="single" w:sz="4" w:space="0" w:color="auto"/>
            </w:tcBorders>
            <w:noWrap/>
            <w:vAlign w:val="center"/>
            <w:hideMark/>
          </w:tcPr>
          <w:p w14:paraId="421D789B"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83</w:t>
            </w:r>
          </w:p>
        </w:tc>
        <w:tc>
          <w:tcPr>
            <w:tcW w:w="732" w:type="dxa"/>
            <w:gridSpan w:val="2"/>
            <w:tcBorders>
              <w:top w:val="single" w:sz="4" w:space="0" w:color="auto"/>
            </w:tcBorders>
            <w:noWrap/>
            <w:vAlign w:val="center"/>
            <w:hideMark/>
          </w:tcPr>
          <w:p w14:paraId="7FA89A16"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81.4</w:t>
            </w:r>
          </w:p>
        </w:tc>
        <w:tc>
          <w:tcPr>
            <w:tcW w:w="686" w:type="dxa"/>
            <w:tcBorders>
              <w:top w:val="single" w:sz="4" w:space="0" w:color="auto"/>
            </w:tcBorders>
            <w:shd w:val="clear" w:color="auto" w:fill="F2F2F2" w:themeFill="background1" w:themeFillShade="F2"/>
            <w:noWrap/>
            <w:vAlign w:val="center"/>
            <w:hideMark/>
          </w:tcPr>
          <w:p w14:paraId="022C3EA6"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102</w:t>
            </w:r>
          </w:p>
        </w:tc>
      </w:tr>
      <w:tr w:rsidR="00EB2960" w:rsidRPr="00617370" w14:paraId="694ED78D"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2B73A75A" w14:textId="7F62C8C0" w:rsidR="00EB2960" w:rsidRPr="00617370" w:rsidRDefault="00EB2960" w:rsidP="002634BA">
            <w:pPr>
              <w:pStyle w:val="Tabletext"/>
              <w:rPr>
                <w:b w:val="0"/>
              </w:rPr>
            </w:pPr>
            <w:r w:rsidRPr="00617370">
              <w:rPr>
                <w:b w:val="0"/>
              </w:rPr>
              <w:t>Second quintile</w:t>
            </w:r>
          </w:p>
        </w:tc>
        <w:tc>
          <w:tcPr>
            <w:tcW w:w="879" w:type="dxa"/>
            <w:noWrap/>
            <w:vAlign w:val="center"/>
            <w:hideMark/>
          </w:tcPr>
          <w:p w14:paraId="0EE7E4C4" w14:textId="57EC2996"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276</w:t>
            </w:r>
          </w:p>
        </w:tc>
        <w:tc>
          <w:tcPr>
            <w:tcW w:w="709" w:type="dxa"/>
            <w:noWrap/>
            <w:vAlign w:val="center"/>
            <w:hideMark/>
          </w:tcPr>
          <w:p w14:paraId="713FE81A" w14:textId="331D5541"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75.2</w:t>
            </w:r>
          </w:p>
        </w:tc>
        <w:tc>
          <w:tcPr>
            <w:tcW w:w="707" w:type="dxa"/>
            <w:noWrap/>
            <w:vAlign w:val="center"/>
            <w:hideMark/>
          </w:tcPr>
          <w:p w14:paraId="3BB8106D" w14:textId="4862FCB1"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91</w:t>
            </w:r>
          </w:p>
        </w:tc>
        <w:tc>
          <w:tcPr>
            <w:tcW w:w="708" w:type="dxa"/>
            <w:noWrap/>
            <w:vAlign w:val="center"/>
            <w:hideMark/>
          </w:tcPr>
          <w:p w14:paraId="1F5AFD7E" w14:textId="5932E07C"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24.8</w:t>
            </w:r>
          </w:p>
        </w:tc>
        <w:tc>
          <w:tcPr>
            <w:tcW w:w="623" w:type="dxa"/>
            <w:tcBorders>
              <w:right w:val="single" w:sz="4" w:space="0" w:color="auto"/>
            </w:tcBorders>
            <w:shd w:val="clear" w:color="auto" w:fill="F2F2F2" w:themeFill="background1" w:themeFillShade="F2"/>
            <w:noWrap/>
            <w:vAlign w:val="center"/>
            <w:hideMark/>
          </w:tcPr>
          <w:p w14:paraId="00BB80BA" w14:textId="4BA270B4"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rPr>
                <w:bCs/>
              </w:rPr>
            </w:pPr>
            <w:r w:rsidRPr="00617370">
              <w:rPr>
                <w:bCs/>
              </w:rPr>
              <w:t>367</w:t>
            </w:r>
          </w:p>
        </w:tc>
        <w:tc>
          <w:tcPr>
            <w:tcW w:w="624" w:type="dxa"/>
            <w:tcBorders>
              <w:left w:val="single" w:sz="4" w:space="0" w:color="auto"/>
            </w:tcBorders>
            <w:noWrap/>
            <w:vAlign w:val="center"/>
            <w:hideMark/>
          </w:tcPr>
          <w:p w14:paraId="34460AA8" w14:textId="77777777"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r w:rsidRPr="00617370">
              <w:t>31</w:t>
            </w:r>
          </w:p>
        </w:tc>
        <w:tc>
          <w:tcPr>
            <w:tcW w:w="569" w:type="dxa"/>
            <w:noWrap/>
            <w:vAlign w:val="center"/>
            <w:hideMark/>
          </w:tcPr>
          <w:p w14:paraId="7E139383" w14:textId="759FCD55"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pPr>
            <w:r w:rsidRPr="00617370">
              <w:t>15.4</w:t>
            </w:r>
          </w:p>
        </w:tc>
        <w:tc>
          <w:tcPr>
            <w:tcW w:w="708" w:type="dxa"/>
            <w:noWrap/>
            <w:vAlign w:val="center"/>
            <w:hideMark/>
          </w:tcPr>
          <w:p w14:paraId="500F150B"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171</w:t>
            </w:r>
          </w:p>
        </w:tc>
        <w:tc>
          <w:tcPr>
            <w:tcW w:w="732" w:type="dxa"/>
            <w:gridSpan w:val="2"/>
            <w:noWrap/>
            <w:vAlign w:val="center"/>
            <w:hideMark/>
          </w:tcPr>
          <w:p w14:paraId="6DA72062"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84.7</w:t>
            </w:r>
          </w:p>
        </w:tc>
        <w:tc>
          <w:tcPr>
            <w:tcW w:w="686" w:type="dxa"/>
            <w:shd w:val="clear" w:color="auto" w:fill="F2F2F2" w:themeFill="background1" w:themeFillShade="F2"/>
            <w:noWrap/>
            <w:vAlign w:val="center"/>
            <w:hideMark/>
          </w:tcPr>
          <w:p w14:paraId="3F924431"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Cs/>
              </w:rPr>
            </w:pPr>
            <w:r w:rsidRPr="00617370">
              <w:rPr>
                <w:bCs/>
              </w:rPr>
              <w:t>202</w:t>
            </w:r>
          </w:p>
        </w:tc>
      </w:tr>
      <w:tr w:rsidR="00EB2960" w:rsidRPr="00617370" w14:paraId="4F54D269"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10B02E91" w14:textId="07AAEECD" w:rsidR="00EB2960" w:rsidRPr="00617370" w:rsidRDefault="00EB2960" w:rsidP="002634BA">
            <w:pPr>
              <w:pStyle w:val="Tabletext"/>
              <w:rPr>
                <w:b w:val="0"/>
              </w:rPr>
            </w:pPr>
            <w:r w:rsidRPr="00617370">
              <w:rPr>
                <w:b w:val="0"/>
              </w:rPr>
              <w:t>Third quintile</w:t>
            </w:r>
          </w:p>
        </w:tc>
        <w:tc>
          <w:tcPr>
            <w:tcW w:w="879" w:type="dxa"/>
            <w:noWrap/>
            <w:vAlign w:val="center"/>
            <w:hideMark/>
          </w:tcPr>
          <w:p w14:paraId="51F72B32" w14:textId="114DA00C"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367</w:t>
            </w:r>
          </w:p>
        </w:tc>
        <w:tc>
          <w:tcPr>
            <w:tcW w:w="709" w:type="dxa"/>
            <w:noWrap/>
            <w:vAlign w:val="center"/>
            <w:hideMark/>
          </w:tcPr>
          <w:p w14:paraId="1240F1B0" w14:textId="3F57E74E"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79.8</w:t>
            </w:r>
          </w:p>
        </w:tc>
        <w:tc>
          <w:tcPr>
            <w:tcW w:w="707" w:type="dxa"/>
            <w:noWrap/>
            <w:vAlign w:val="center"/>
            <w:hideMark/>
          </w:tcPr>
          <w:p w14:paraId="60849C37" w14:textId="3D1B1869"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93</w:t>
            </w:r>
          </w:p>
        </w:tc>
        <w:tc>
          <w:tcPr>
            <w:tcW w:w="708" w:type="dxa"/>
            <w:noWrap/>
            <w:vAlign w:val="center"/>
            <w:hideMark/>
          </w:tcPr>
          <w:p w14:paraId="5A69DB6C" w14:textId="15484F79"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20.2</w:t>
            </w:r>
          </w:p>
        </w:tc>
        <w:tc>
          <w:tcPr>
            <w:tcW w:w="623" w:type="dxa"/>
            <w:tcBorders>
              <w:right w:val="single" w:sz="4" w:space="0" w:color="auto"/>
            </w:tcBorders>
            <w:shd w:val="clear" w:color="auto" w:fill="F2F2F2" w:themeFill="background1" w:themeFillShade="F2"/>
            <w:noWrap/>
            <w:vAlign w:val="center"/>
            <w:hideMark/>
          </w:tcPr>
          <w:p w14:paraId="2A13983A" w14:textId="231F1ABC"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460</w:t>
            </w:r>
          </w:p>
        </w:tc>
        <w:tc>
          <w:tcPr>
            <w:tcW w:w="624" w:type="dxa"/>
            <w:tcBorders>
              <w:left w:val="single" w:sz="4" w:space="0" w:color="auto"/>
            </w:tcBorders>
            <w:noWrap/>
            <w:vAlign w:val="center"/>
            <w:hideMark/>
          </w:tcPr>
          <w:p w14:paraId="4CC3A251" w14:textId="77777777"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54</w:t>
            </w:r>
          </w:p>
        </w:tc>
        <w:tc>
          <w:tcPr>
            <w:tcW w:w="569" w:type="dxa"/>
            <w:noWrap/>
            <w:vAlign w:val="center"/>
            <w:hideMark/>
          </w:tcPr>
          <w:p w14:paraId="0836CE94" w14:textId="224125E2"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20.0</w:t>
            </w:r>
          </w:p>
        </w:tc>
        <w:tc>
          <w:tcPr>
            <w:tcW w:w="708" w:type="dxa"/>
            <w:noWrap/>
            <w:vAlign w:val="center"/>
            <w:hideMark/>
          </w:tcPr>
          <w:p w14:paraId="399FAC61"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216</w:t>
            </w:r>
          </w:p>
        </w:tc>
        <w:tc>
          <w:tcPr>
            <w:tcW w:w="732" w:type="dxa"/>
            <w:gridSpan w:val="2"/>
            <w:noWrap/>
            <w:vAlign w:val="center"/>
            <w:hideMark/>
          </w:tcPr>
          <w:p w14:paraId="3DA4C9F3"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80.0</w:t>
            </w:r>
          </w:p>
        </w:tc>
        <w:tc>
          <w:tcPr>
            <w:tcW w:w="686" w:type="dxa"/>
            <w:shd w:val="clear" w:color="auto" w:fill="F2F2F2" w:themeFill="background1" w:themeFillShade="F2"/>
            <w:noWrap/>
            <w:vAlign w:val="center"/>
            <w:hideMark/>
          </w:tcPr>
          <w:p w14:paraId="75E43868"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270</w:t>
            </w:r>
          </w:p>
        </w:tc>
      </w:tr>
      <w:tr w:rsidR="00EB2960" w:rsidRPr="00617370" w14:paraId="60670E1A"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0418DDE4" w14:textId="46AC1E66" w:rsidR="00EB2960" w:rsidRPr="00617370" w:rsidRDefault="00EB2960" w:rsidP="002634BA">
            <w:pPr>
              <w:pStyle w:val="Tabletext"/>
              <w:rPr>
                <w:b w:val="0"/>
              </w:rPr>
            </w:pPr>
            <w:r w:rsidRPr="00617370">
              <w:rPr>
                <w:b w:val="0"/>
              </w:rPr>
              <w:t>Fourth quintile</w:t>
            </w:r>
          </w:p>
        </w:tc>
        <w:tc>
          <w:tcPr>
            <w:tcW w:w="879" w:type="dxa"/>
            <w:noWrap/>
            <w:vAlign w:val="center"/>
            <w:hideMark/>
          </w:tcPr>
          <w:p w14:paraId="49051BD7" w14:textId="1C74133C"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478</w:t>
            </w:r>
          </w:p>
        </w:tc>
        <w:tc>
          <w:tcPr>
            <w:tcW w:w="709" w:type="dxa"/>
            <w:noWrap/>
            <w:vAlign w:val="center"/>
            <w:hideMark/>
          </w:tcPr>
          <w:p w14:paraId="6409E0CB" w14:textId="6A140D49"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88.7</w:t>
            </w:r>
          </w:p>
        </w:tc>
        <w:tc>
          <w:tcPr>
            <w:tcW w:w="707" w:type="dxa"/>
            <w:noWrap/>
            <w:vAlign w:val="center"/>
            <w:hideMark/>
          </w:tcPr>
          <w:p w14:paraId="6A01B5D8" w14:textId="5EE398C6"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61</w:t>
            </w:r>
          </w:p>
        </w:tc>
        <w:tc>
          <w:tcPr>
            <w:tcW w:w="708" w:type="dxa"/>
            <w:noWrap/>
            <w:vAlign w:val="center"/>
            <w:hideMark/>
          </w:tcPr>
          <w:p w14:paraId="5EAA0119" w14:textId="26BA501F"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11.3</w:t>
            </w:r>
          </w:p>
        </w:tc>
        <w:tc>
          <w:tcPr>
            <w:tcW w:w="623" w:type="dxa"/>
            <w:tcBorders>
              <w:right w:val="single" w:sz="4" w:space="0" w:color="auto"/>
            </w:tcBorders>
            <w:shd w:val="clear" w:color="auto" w:fill="F2F2F2" w:themeFill="background1" w:themeFillShade="F2"/>
            <w:noWrap/>
            <w:vAlign w:val="center"/>
            <w:hideMark/>
          </w:tcPr>
          <w:p w14:paraId="3AF90FEC" w14:textId="3A1825AB"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rPr>
                <w:bCs/>
              </w:rPr>
            </w:pPr>
            <w:r w:rsidRPr="00617370">
              <w:rPr>
                <w:bCs/>
              </w:rPr>
              <w:t>539</w:t>
            </w:r>
          </w:p>
        </w:tc>
        <w:tc>
          <w:tcPr>
            <w:tcW w:w="624" w:type="dxa"/>
            <w:tcBorders>
              <w:left w:val="single" w:sz="4" w:space="0" w:color="auto"/>
            </w:tcBorders>
            <w:noWrap/>
            <w:vAlign w:val="center"/>
            <w:hideMark/>
          </w:tcPr>
          <w:p w14:paraId="7FE4A387" w14:textId="77777777"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r w:rsidRPr="00617370">
              <w:t>95</w:t>
            </w:r>
          </w:p>
        </w:tc>
        <w:tc>
          <w:tcPr>
            <w:tcW w:w="569" w:type="dxa"/>
            <w:noWrap/>
            <w:vAlign w:val="center"/>
            <w:hideMark/>
          </w:tcPr>
          <w:p w14:paraId="0162673C" w14:textId="64219E20"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pPr>
            <w:r w:rsidRPr="00617370">
              <w:t>26.5</w:t>
            </w:r>
          </w:p>
        </w:tc>
        <w:tc>
          <w:tcPr>
            <w:tcW w:w="708" w:type="dxa"/>
            <w:noWrap/>
            <w:vAlign w:val="center"/>
            <w:hideMark/>
          </w:tcPr>
          <w:p w14:paraId="371F1F92"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263</w:t>
            </w:r>
          </w:p>
        </w:tc>
        <w:tc>
          <w:tcPr>
            <w:tcW w:w="732" w:type="dxa"/>
            <w:gridSpan w:val="2"/>
            <w:noWrap/>
            <w:vAlign w:val="center"/>
            <w:hideMark/>
          </w:tcPr>
          <w:p w14:paraId="400AF56A" w14:textId="77777777"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73.5</w:t>
            </w:r>
          </w:p>
        </w:tc>
        <w:tc>
          <w:tcPr>
            <w:tcW w:w="686" w:type="dxa"/>
            <w:shd w:val="clear" w:color="auto" w:fill="F2F2F2" w:themeFill="background1" w:themeFillShade="F2"/>
            <w:noWrap/>
            <w:vAlign w:val="center"/>
            <w:hideMark/>
          </w:tcPr>
          <w:p w14:paraId="7F75AC7C"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Cs/>
              </w:rPr>
            </w:pPr>
            <w:r w:rsidRPr="00617370">
              <w:rPr>
                <w:bCs/>
              </w:rPr>
              <w:t>358</w:t>
            </w:r>
          </w:p>
        </w:tc>
      </w:tr>
      <w:tr w:rsidR="00EB2960" w:rsidRPr="00617370" w14:paraId="1EC20D54"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noWrap/>
            <w:hideMark/>
          </w:tcPr>
          <w:p w14:paraId="6C94DB6D" w14:textId="39D523C3" w:rsidR="00EB2960" w:rsidRPr="00617370" w:rsidRDefault="00EB2960" w:rsidP="002634BA">
            <w:pPr>
              <w:pStyle w:val="Tabletext"/>
              <w:rPr>
                <w:b w:val="0"/>
              </w:rPr>
            </w:pPr>
            <w:r w:rsidRPr="00617370">
              <w:rPr>
                <w:b w:val="0"/>
              </w:rPr>
              <w:t>Highest quintile</w:t>
            </w:r>
          </w:p>
        </w:tc>
        <w:tc>
          <w:tcPr>
            <w:tcW w:w="879" w:type="dxa"/>
            <w:noWrap/>
            <w:vAlign w:val="center"/>
            <w:hideMark/>
          </w:tcPr>
          <w:p w14:paraId="25B2D897" w14:textId="695DF444"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665</w:t>
            </w:r>
          </w:p>
        </w:tc>
        <w:tc>
          <w:tcPr>
            <w:tcW w:w="709" w:type="dxa"/>
            <w:noWrap/>
            <w:vAlign w:val="center"/>
            <w:hideMark/>
          </w:tcPr>
          <w:p w14:paraId="592BD339" w14:textId="072BDF63"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94.7</w:t>
            </w:r>
          </w:p>
        </w:tc>
        <w:tc>
          <w:tcPr>
            <w:tcW w:w="707" w:type="dxa"/>
            <w:noWrap/>
            <w:vAlign w:val="center"/>
            <w:hideMark/>
          </w:tcPr>
          <w:p w14:paraId="01531EA8" w14:textId="20DD8638"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37</w:t>
            </w:r>
          </w:p>
        </w:tc>
        <w:tc>
          <w:tcPr>
            <w:tcW w:w="708" w:type="dxa"/>
            <w:noWrap/>
            <w:vAlign w:val="center"/>
            <w:hideMark/>
          </w:tcPr>
          <w:p w14:paraId="6CCBCA8D" w14:textId="231475CB"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5.3</w:t>
            </w:r>
          </w:p>
        </w:tc>
        <w:tc>
          <w:tcPr>
            <w:tcW w:w="623" w:type="dxa"/>
            <w:tcBorders>
              <w:right w:val="single" w:sz="4" w:space="0" w:color="auto"/>
            </w:tcBorders>
            <w:shd w:val="clear" w:color="auto" w:fill="F2F2F2" w:themeFill="background1" w:themeFillShade="F2"/>
            <w:noWrap/>
            <w:vAlign w:val="center"/>
            <w:hideMark/>
          </w:tcPr>
          <w:p w14:paraId="612673EA" w14:textId="3D67EAAA"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Cs/>
              </w:rPr>
            </w:pPr>
            <w:r w:rsidRPr="00617370">
              <w:rPr>
                <w:bCs/>
              </w:rPr>
              <w:t>702</w:t>
            </w:r>
          </w:p>
        </w:tc>
        <w:tc>
          <w:tcPr>
            <w:tcW w:w="624" w:type="dxa"/>
            <w:tcBorders>
              <w:left w:val="single" w:sz="4" w:space="0" w:color="auto"/>
            </w:tcBorders>
            <w:noWrap/>
            <w:vAlign w:val="center"/>
            <w:hideMark/>
          </w:tcPr>
          <w:p w14:paraId="1B39C495" w14:textId="77777777"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pPr>
            <w:r w:rsidRPr="00617370">
              <w:t>224</w:t>
            </w:r>
          </w:p>
        </w:tc>
        <w:tc>
          <w:tcPr>
            <w:tcW w:w="569" w:type="dxa"/>
            <w:noWrap/>
            <w:vAlign w:val="center"/>
            <w:hideMark/>
          </w:tcPr>
          <w:p w14:paraId="1237432D" w14:textId="537FC69F"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pPr>
            <w:r w:rsidRPr="00617370">
              <w:t>41.1</w:t>
            </w:r>
          </w:p>
        </w:tc>
        <w:tc>
          <w:tcPr>
            <w:tcW w:w="708" w:type="dxa"/>
            <w:noWrap/>
            <w:vAlign w:val="center"/>
            <w:hideMark/>
          </w:tcPr>
          <w:p w14:paraId="6D18CDEB"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pPr>
            <w:r w:rsidRPr="00617370">
              <w:t>321</w:t>
            </w:r>
          </w:p>
        </w:tc>
        <w:tc>
          <w:tcPr>
            <w:tcW w:w="732" w:type="dxa"/>
            <w:gridSpan w:val="2"/>
            <w:noWrap/>
            <w:vAlign w:val="center"/>
            <w:hideMark/>
          </w:tcPr>
          <w:p w14:paraId="6BA08F87"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pPr>
            <w:r w:rsidRPr="00617370">
              <w:t>58.9</w:t>
            </w:r>
          </w:p>
        </w:tc>
        <w:tc>
          <w:tcPr>
            <w:tcW w:w="686" w:type="dxa"/>
            <w:shd w:val="clear" w:color="auto" w:fill="F2F2F2" w:themeFill="background1" w:themeFillShade="F2"/>
            <w:noWrap/>
            <w:vAlign w:val="center"/>
            <w:hideMark/>
          </w:tcPr>
          <w:p w14:paraId="09AF2243" w14:textId="77777777"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Cs/>
              </w:rPr>
            </w:pPr>
            <w:r w:rsidRPr="00617370">
              <w:rPr>
                <w:bCs/>
              </w:rPr>
              <w:t>545</w:t>
            </w:r>
          </w:p>
        </w:tc>
      </w:tr>
      <w:tr w:rsidR="00A53800" w:rsidRPr="00617370" w14:paraId="4F270E52"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auto"/>
            </w:tcBorders>
            <w:noWrap/>
            <w:hideMark/>
          </w:tcPr>
          <w:p w14:paraId="533BA447" w14:textId="172BC09F" w:rsidR="00EB2960" w:rsidRPr="00617370" w:rsidRDefault="00EB2960">
            <w:pPr>
              <w:pStyle w:val="Tabletext"/>
              <w:rPr>
                <w:bCs/>
              </w:rPr>
            </w:pPr>
            <w:r w:rsidRPr="00617370">
              <w:rPr>
                <w:b w:val="0"/>
              </w:rPr>
              <w:t>Missing</w:t>
            </w:r>
          </w:p>
        </w:tc>
        <w:tc>
          <w:tcPr>
            <w:tcW w:w="879" w:type="dxa"/>
            <w:tcBorders>
              <w:bottom w:val="single" w:sz="4" w:space="0" w:color="auto"/>
            </w:tcBorders>
            <w:noWrap/>
            <w:vAlign w:val="center"/>
            <w:hideMark/>
          </w:tcPr>
          <w:p w14:paraId="321A1E4C" w14:textId="4F2BE563"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4</w:t>
            </w:r>
          </w:p>
        </w:tc>
        <w:tc>
          <w:tcPr>
            <w:tcW w:w="709" w:type="dxa"/>
            <w:tcBorders>
              <w:bottom w:val="single" w:sz="4" w:space="0" w:color="auto"/>
            </w:tcBorders>
            <w:noWrap/>
            <w:vAlign w:val="center"/>
            <w:hideMark/>
          </w:tcPr>
          <w:p w14:paraId="2F090FAB" w14:textId="65A3DB44"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100.0</w:t>
            </w:r>
          </w:p>
        </w:tc>
        <w:tc>
          <w:tcPr>
            <w:tcW w:w="707" w:type="dxa"/>
            <w:tcBorders>
              <w:bottom w:val="single" w:sz="4" w:space="0" w:color="auto"/>
            </w:tcBorders>
            <w:noWrap/>
            <w:vAlign w:val="center"/>
            <w:hideMark/>
          </w:tcPr>
          <w:p w14:paraId="09AAE698" w14:textId="41258FED"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0</w:t>
            </w:r>
          </w:p>
        </w:tc>
        <w:tc>
          <w:tcPr>
            <w:tcW w:w="708" w:type="dxa"/>
            <w:tcBorders>
              <w:bottom w:val="single" w:sz="4" w:space="0" w:color="auto"/>
            </w:tcBorders>
            <w:noWrap/>
            <w:vAlign w:val="center"/>
            <w:hideMark/>
          </w:tcPr>
          <w:p w14:paraId="7C5D1607" w14:textId="2B0CD672"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0.0</w:t>
            </w:r>
          </w:p>
        </w:tc>
        <w:tc>
          <w:tcPr>
            <w:tcW w:w="623" w:type="dxa"/>
            <w:tcBorders>
              <w:bottom w:val="single" w:sz="4" w:space="0" w:color="auto"/>
              <w:right w:val="single" w:sz="4" w:space="0" w:color="auto"/>
            </w:tcBorders>
            <w:shd w:val="clear" w:color="auto" w:fill="F2F2F2" w:themeFill="background1" w:themeFillShade="F2"/>
            <w:noWrap/>
            <w:vAlign w:val="center"/>
            <w:hideMark/>
          </w:tcPr>
          <w:p w14:paraId="1A230F52" w14:textId="6D7F47AE" w:rsidR="00EB2960" w:rsidRPr="00617370" w:rsidRDefault="00EB2960" w:rsidP="00EB2960">
            <w:pPr>
              <w:pStyle w:val="Tabletext"/>
              <w:jc w:val="right"/>
              <w:cnfStyle w:val="000000100000" w:firstRow="0" w:lastRow="0" w:firstColumn="0" w:lastColumn="0" w:oddVBand="0" w:evenVBand="0" w:oddHBand="1" w:evenHBand="0" w:firstRowFirstColumn="0" w:firstRowLastColumn="0" w:lastRowFirstColumn="0" w:lastRowLastColumn="0"/>
              <w:rPr>
                <w:bCs/>
              </w:rPr>
            </w:pPr>
            <w:r w:rsidRPr="00617370">
              <w:rPr>
                <w:bCs/>
              </w:rPr>
              <w:t>4</w:t>
            </w:r>
          </w:p>
        </w:tc>
        <w:tc>
          <w:tcPr>
            <w:tcW w:w="624" w:type="dxa"/>
            <w:tcBorders>
              <w:left w:val="single" w:sz="4" w:space="0" w:color="auto"/>
              <w:bottom w:val="single" w:sz="4" w:space="0" w:color="auto"/>
            </w:tcBorders>
            <w:noWrap/>
            <w:vAlign w:val="center"/>
            <w:hideMark/>
          </w:tcPr>
          <w:p w14:paraId="4E0F6B2B" w14:textId="7114353B" w:rsidR="00EB2960" w:rsidRPr="00617370" w:rsidRDefault="00EB2960" w:rsidP="00462480">
            <w:pPr>
              <w:pStyle w:val="Tabletext"/>
              <w:ind w:right="284"/>
              <w:jc w:val="right"/>
              <w:cnfStyle w:val="000000100000" w:firstRow="0" w:lastRow="0" w:firstColumn="0" w:lastColumn="0" w:oddVBand="0" w:evenVBand="0" w:oddHBand="1" w:evenHBand="0" w:firstRowFirstColumn="0" w:firstRowLastColumn="0" w:lastRowFirstColumn="0" w:lastRowLastColumn="0"/>
            </w:pPr>
            <w:r w:rsidRPr="00617370">
              <w:t>0</w:t>
            </w:r>
          </w:p>
        </w:tc>
        <w:tc>
          <w:tcPr>
            <w:tcW w:w="569" w:type="dxa"/>
            <w:tcBorders>
              <w:bottom w:val="single" w:sz="4" w:space="0" w:color="auto"/>
            </w:tcBorders>
            <w:noWrap/>
            <w:vAlign w:val="center"/>
            <w:hideMark/>
          </w:tcPr>
          <w:p w14:paraId="408F3B2B" w14:textId="465E506D" w:rsidR="00EB2960" w:rsidRPr="00617370" w:rsidRDefault="00EB2960" w:rsidP="00462480">
            <w:pPr>
              <w:pStyle w:val="Tabletext"/>
              <w:jc w:val="right"/>
              <w:cnfStyle w:val="000000100000" w:firstRow="0" w:lastRow="0" w:firstColumn="0" w:lastColumn="0" w:oddVBand="0" w:evenVBand="0" w:oddHBand="1" w:evenHBand="0" w:firstRowFirstColumn="0" w:firstRowLastColumn="0" w:lastRowFirstColumn="0" w:lastRowLastColumn="0"/>
            </w:pPr>
            <w:r w:rsidRPr="00617370">
              <w:t>0.0</w:t>
            </w:r>
          </w:p>
        </w:tc>
        <w:tc>
          <w:tcPr>
            <w:tcW w:w="708" w:type="dxa"/>
            <w:tcBorders>
              <w:bottom w:val="single" w:sz="4" w:space="0" w:color="auto"/>
            </w:tcBorders>
            <w:noWrap/>
            <w:vAlign w:val="center"/>
            <w:hideMark/>
          </w:tcPr>
          <w:p w14:paraId="51DDC5B3"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pPr>
            <w:r w:rsidRPr="00617370">
              <w:t>2</w:t>
            </w:r>
          </w:p>
        </w:tc>
        <w:tc>
          <w:tcPr>
            <w:tcW w:w="732" w:type="dxa"/>
            <w:gridSpan w:val="2"/>
            <w:tcBorders>
              <w:bottom w:val="single" w:sz="4" w:space="0" w:color="auto"/>
            </w:tcBorders>
            <w:noWrap/>
            <w:vAlign w:val="center"/>
            <w:hideMark/>
          </w:tcPr>
          <w:p w14:paraId="43F63F24" w14:textId="7941C46B" w:rsidR="00EB2960" w:rsidRPr="00617370" w:rsidRDefault="00EB2960" w:rsidP="00A53800">
            <w:pPr>
              <w:pStyle w:val="Tabletext"/>
              <w:ind w:right="113"/>
              <w:jc w:val="right"/>
              <w:cnfStyle w:val="000000100000" w:firstRow="0" w:lastRow="0" w:firstColumn="0" w:lastColumn="0" w:oddVBand="0" w:evenVBand="0" w:oddHBand="1" w:evenHBand="0" w:firstRowFirstColumn="0" w:firstRowLastColumn="0" w:lastRowFirstColumn="0" w:lastRowLastColumn="0"/>
            </w:pPr>
            <w:r w:rsidRPr="00617370">
              <w:t>100.0</w:t>
            </w:r>
          </w:p>
        </w:tc>
        <w:tc>
          <w:tcPr>
            <w:tcW w:w="686" w:type="dxa"/>
            <w:tcBorders>
              <w:bottom w:val="single" w:sz="4" w:space="0" w:color="auto"/>
            </w:tcBorders>
            <w:shd w:val="clear" w:color="auto" w:fill="F2F2F2" w:themeFill="background1" w:themeFillShade="F2"/>
            <w:noWrap/>
            <w:vAlign w:val="center"/>
            <w:hideMark/>
          </w:tcPr>
          <w:p w14:paraId="58E11D1F" w14:textId="77777777" w:rsidR="00EB2960" w:rsidRPr="00617370" w:rsidRDefault="00EB2960" w:rsidP="00462480">
            <w:pPr>
              <w:pStyle w:val="Tabletext"/>
              <w:ind w:right="57"/>
              <w:jc w:val="right"/>
              <w:cnfStyle w:val="000000100000" w:firstRow="0" w:lastRow="0" w:firstColumn="0" w:lastColumn="0" w:oddVBand="0" w:evenVBand="0" w:oddHBand="1" w:evenHBand="0" w:firstRowFirstColumn="0" w:firstRowLastColumn="0" w:lastRowFirstColumn="0" w:lastRowLastColumn="0"/>
              <w:rPr>
                <w:bCs/>
              </w:rPr>
            </w:pPr>
            <w:r w:rsidRPr="00617370">
              <w:rPr>
                <w:bCs/>
              </w:rPr>
              <w:t>2</w:t>
            </w:r>
          </w:p>
        </w:tc>
      </w:tr>
      <w:tr w:rsidR="00A53800" w:rsidRPr="00617370" w14:paraId="66E1FE81"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auto"/>
              <w:bottom w:val="single" w:sz="4" w:space="0" w:color="auto"/>
            </w:tcBorders>
            <w:noWrap/>
            <w:vAlign w:val="center"/>
          </w:tcPr>
          <w:p w14:paraId="6ECA866E" w14:textId="5D0E2543" w:rsidR="00EB2960" w:rsidRPr="00617370" w:rsidRDefault="00EB2960" w:rsidP="00AD1584">
            <w:pPr>
              <w:pStyle w:val="Tabletext"/>
              <w:jc w:val="left"/>
              <w:rPr>
                <w:b w:val="0"/>
                <w:bCs/>
              </w:rPr>
            </w:pPr>
            <w:r w:rsidRPr="00617370">
              <w:rPr>
                <w:bCs/>
              </w:rPr>
              <w:t>Total</w:t>
            </w:r>
          </w:p>
        </w:tc>
        <w:tc>
          <w:tcPr>
            <w:tcW w:w="879" w:type="dxa"/>
            <w:tcBorders>
              <w:top w:val="single" w:sz="4" w:space="0" w:color="auto"/>
              <w:bottom w:val="single" w:sz="4" w:space="0" w:color="auto"/>
            </w:tcBorders>
            <w:noWrap/>
            <w:vAlign w:val="center"/>
          </w:tcPr>
          <w:p w14:paraId="6A940E2D" w14:textId="3026B1C1"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bCs/>
              </w:rPr>
            </w:pPr>
            <w:r w:rsidRPr="00617370">
              <w:rPr>
                <w:b/>
                <w:bCs/>
              </w:rPr>
              <w:t>1 956</w:t>
            </w:r>
          </w:p>
        </w:tc>
        <w:tc>
          <w:tcPr>
            <w:tcW w:w="709" w:type="dxa"/>
            <w:tcBorders>
              <w:top w:val="single" w:sz="4" w:space="0" w:color="auto"/>
              <w:bottom w:val="single" w:sz="4" w:space="0" w:color="auto"/>
            </w:tcBorders>
            <w:vAlign w:val="center"/>
          </w:tcPr>
          <w:p w14:paraId="4CF0BF45"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bCs/>
              </w:rPr>
            </w:pPr>
          </w:p>
        </w:tc>
        <w:tc>
          <w:tcPr>
            <w:tcW w:w="707" w:type="dxa"/>
            <w:tcBorders>
              <w:top w:val="single" w:sz="4" w:space="0" w:color="auto"/>
              <w:bottom w:val="single" w:sz="4" w:space="0" w:color="auto"/>
            </w:tcBorders>
            <w:vAlign w:val="center"/>
          </w:tcPr>
          <w:p w14:paraId="4AE69B9F" w14:textId="724EFD1E"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bCs/>
              </w:rPr>
            </w:pPr>
            <w:r w:rsidRPr="00617370">
              <w:rPr>
                <w:b/>
                <w:bCs/>
              </w:rPr>
              <w:t>354</w:t>
            </w:r>
          </w:p>
        </w:tc>
        <w:tc>
          <w:tcPr>
            <w:tcW w:w="708" w:type="dxa"/>
            <w:tcBorders>
              <w:top w:val="single" w:sz="4" w:space="0" w:color="auto"/>
              <w:bottom w:val="single" w:sz="4" w:space="0" w:color="auto"/>
            </w:tcBorders>
            <w:vAlign w:val="center"/>
          </w:tcPr>
          <w:p w14:paraId="0BED0FA3" w14:textId="5B515644"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bCs/>
              </w:rPr>
            </w:pP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7D90C5" w14:textId="0B4F68EE" w:rsidR="00EB2960" w:rsidRPr="00617370" w:rsidRDefault="00EB2960" w:rsidP="00EB2960">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617370">
              <w:rPr>
                <w:b/>
                <w:bCs/>
              </w:rPr>
              <w:t>2 310</w:t>
            </w:r>
          </w:p>
        </w:tc>
        <w:tc>
          <w:tcPr>
            <w:tcW w:w="624" w:type="dxa"/>
            <w:tcBorders>
              <w:top w:val="single" w:sz="4" w:space="0" w:color="auto"/>
              <w:bottom w:val="single" w:sz="4" w:space="0" w:color="auto"/>
            </w:tcBorders>
            <w:noWrap/>
            <w:vAlign w:val="center"/>
          </w:tcPr>
          <w:p w14:paraId="0C27A405" w14:textId="6F207D6A" w:rsidR="00EB2960" w:rsidRPr="00617370" w:rsidRDefault="00EB2960" w:rsidP="00462480">
            <w:pPr>
              <w:pStyle w:val="Tabletext"/>
              <w:ind w:right="284"/>
              <w:jc w:val="right"/>
              <w:cnfStyle w:val="000000000000" w:firstRow="0" w:lastRow="0" w:firstColumn="0" w:lastColumn="0" w:oddVBand="0" w:evenVBand="0" w:oddHBand="0" w:evenHBand="0" w:firstRowFirstColumn="0" w:firstRowLastColumn="0" w:lastRowFirstColumn="0" w:lastRowLastColumn="0"/>
              <w:rPr>
                <w:b/>
                <w:bCs/>
              </w:rPr>
            </w:pPr>
            <w:r w:rsidRPr="00617370">
              <w:rPr>
                <w:b/>
                <w:bCs/>
              </w:rPr>
              <w:t>423</w:t>
            </w:r>
          </w:p>
        </w:tc>
        <w:tc>
          <w:tcPr>
            <w:tcW w:w="569" w:type="dxa"/>
            <w:tcBorders>
              <w:top w:val="single" w:sz="4" w:space="0" w:color="auto"/>
              <w:bottom w:val="single" w:sz="4" w:space="0" w:color="auto"/>
            </w:tcBorders>
            <w:vAlign w:val="center"/>
          </w:tcPr>
          <w:p w14:paraId="67CC0E1C" w14:textId="77777777" w:rsidR="00EB2960" w:rsidRPr="00617370" w:rsidRDefault="00EB2960" w:rsidP="00462480">
            <w:pPr>
              <w:pStyle w:val="Tabletext"/>
              <w:jc w:val="right"/>
              <w:cnfStyle w:val="000000000000" w:firstRow="0" w:lastRow="0" w:firstColumn="0" w:lastColumn="0" w:oddVBand="0" w:evenVBand="0" w:oddHBand="0" w:evenHBand="0" w:firstRowFirstColumn="0" w:firstRowLastColumn="0" w:lastRowFirstColumn="0" w:lastRowLastColumn="0"/>
              <w:rPr>
                <w:b/>
                <w:bCs/>
              </w:rPr>
            </w:pPr>
          </w:p>
        </w:tc>
        <w:tc>
          <w:tcPr>
            <w:tcW w:w="708" w:type="dxa"/>
            <w:tcBorders>
              <w:top w:val="single" w:sz="4" w:space="0" w:color="auto"/>
              <w:left w:val="nil"/>
              <w:bottom w:val="single" w:sz="4" w:space="0" w:color="auto"/>
            </w:tcBorders>
            <w:vAlign w:val="center"/>
          </w:tcPr>
          <w:p w14:paraId="1A462E27" w14:textId="6C956061"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
                <w:bCs/>
              </w:rPr>
            </w:pPr>
            <w:r w:rsidRPr="00617370">
              <w:rPr>
                <w:b/>
                <w:bCs/>
              </w:rPr>
              <w:t>1 056</w:t>
            </w:r>
          </w:p>
        </w:tc>
        <w:tc>
          <w:tcPr>
            <w:tcW w:w="710" w:type="dxa"/>
            <w:tcBorders>
              <w:top w:val="single" w:sz="4" w:space="0" w:color="auto"/>
              <w:left w:val="nil"/>
              <w:bottom w:val="single" w:sz="4" w:space="0" w:color="auto"/>
            </w:tcBorders>
            <w:vAlign w:val="center"/>
          </w:tcPr>
          <w:p w14:paraId="116549D0" w14:textId="77777777" w:rsidR="00EB2960" w:rsidRPr="00617370" w:rsidRDefault="00EB2960" w:rsidP="00A53800">
            <w:pPr>
              <w:pStyle w:val="Tabletext"/>
              <w:ind w:right="113"/>
              <w:jc w:val="right"/>
              <w:cnfStyle w:val="000000000000" w:firstRow="0" w:lastRow="0" w:firstColumn="0" w:lastColumn="0" w:oddVBand="0" w:evenVBand="0" w:oddHBand="0" w:evenHBand="0" w:firstRowFirstColumn="0" w:firstRowLastColumn="0" w:lastRowFirstColumn="0" w:lastRowLastColumn="0"/>
              <w:rPr>
                <w:b/>
                <w:bCs/>
              </w:rPr>
            </w:pPr>
          </w:p>
        </w:tc>
        <w:tc>
          <w:tcPr>
            <w:tcW w:w="708" w:type="dxa"/>
            <w:gridSpan w:val="2"/>
            <w:tcBorders>
              <w:top w:val="single" w:sz="4" w:space="0" w:color="auto"/>
              <w:left w:val="nil"/>
              <w:bottom w:val="single" w:sz="4" w:space="0" w:color="auto"/>
            </w:tcBorders>
            <w:shd w:val="clear" w:color="auto" w:fill="F2F2F2" w:themeFill="background1" w:themeFillShade="F2"/>
            <w:vAlign w:val="center"/>
          </w:tcPr>
          <w:p w14:paraId="75CD7A84" w14:textId="5A7E5A10" w:rsidR="00EB2960" w:rsidRPr="00617370" w:rsidRDefault="00EB2960" w:rsidP="00462480">
            <w:pPr>
              <w:pStyle w:val="Tabletext"/>
              <w:ind w:right="57"/>
              <w:jc w:val="right"/>
              <w:cnfStyle w:val="000000000000" w:firstRow="0" w:lastRow="0" w:firstColumn="0" w:lastColumn="0" w:oddVBand="0" w:evenVBand="0" w:oddHBand="0" w:evenHBand="0" w:firstRowFirstColumn="0" w:firstRowLastColumn="0" w:lastRowFirstColumn="0" w:lastRowLastColumn="0"/>
              <w:rPr>
                <w:b/>
                <w:bCs/>
              </w:rPr>
            </w:pPr>
            <w:r w:rsidRPr="00617370">
              <w:rPr>
                <w:b/>
                <w:bCs/>
              </w:rPr>
              <w:t>1 479</w:t>
            </w:r>
          </w:p>
        </w:tc>
      </w:tr>
    </w:tbl>
    <w:p w14:paraId="39421A64" w14:textId="2F84A8AC" w:rsidR="009B4D58" w:rsidRPr="00617370" w:rsidRDefault="00AD1584" w:rsidP="00AD1584">
      <w:pPr>
        <w:pStyle w:val="Tabletitle"/>
      </w:pPr>
      <w:bookmarkStart w:id="46" w:name="_Toc163480803"/>
      <w:bookmarkEnd w:id="45"/>
      <w:r w:rsidRPr="00617370">
        <w:t>Table 2</w:t>
      </w:r>
      <w:r w:rsidRPr="00617370">
        <w:tab/>
        <w:t>Year 9 NAPLAN scores of LSAY respondents by ATAR outcomes</w:t>
      </w:r>
      <w:bookmarkEnd w:id="46"/>
    </w:p>
    <w:tbl>
      <w:tblPr>
        <w:tblStyle w:val="NCVERTable"/>
        <w:tblW w:w="9498" w:type="dxa"/>
        <w:tblBorders>
          <w:top w:val="none" w:sz="0" w:space="0" w:color="auto"/>
          <w:bottom w:val="none" w:sz="0" w:space="0" w:color="auto"/>
        </w:tblBorders>
        <w:tblLayout w:type="fixed"/>
        <w:tblLook w:val="04A0" w:firstRow="1" w:lastRow="0" w:firstColumn="1" w:lastColumn="0" w:noHBand="0" w:noVBand="1"/>
      </w:tblPr>
      <w:tblGrid>
        <w:gridCol w:w="2227"/>
        <w:gridCol w:w="624"/>
        <w:gridCol w:w="872"/>
        <w:gridCol w:w="9"/>
        <w:gridCol w:w="615"/>
        <w:gridCol w:w="878"/>
        <w:gridCol w:w="12"/>
        <w:gridCol w:w="615"/>
        <w:gridCol w:w="624"/>
        <w:gridCol w:w="877"/>
        <w:gridCol w:w="624"/>
        <w:gridCol w:w="877"/>
        <w:gridCol w:w="644"/>
      </w:tblGrid>
      <w:tr w:rsidR="00AD1584" w:rsidRPr="00617370" w14:paraId="18282C60" w14:textId="77777777" w:rsidTr="00EA37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7" w:type="dxa"/>
            <w:tcBorders>
              <w:bottom w:val="none" w:sz="0" w:space="0" w:color="auto"/>
              <w:right w:val="none" w:sz="0" w:space="0" w:color="auto"/>
            </w:tcBorders>
            <w:noWrap/>
          </w:tcPr>
          <w:p w14:paraId="1876AEC4" w14:textId="77777777" w:rsidR="00AD1584" w:rsidRPr="00617370" w:rsidRDefault="00AD1584" w:rsidP="00E21F84">
            <w:pPr>
              <w:pStyle w:val="Tablehead1"/>
              <w:jc w:val="center"/>
              <w:rPr>
                <w:b/>
                <w:bCs w:val="0"/>
              </w:rPr>
            </w:pPr>
          </w:p>
        </w:tc>
        <w:tc>
          <w:tcPr>
            <w:tcW w:w="3625" w:type="dxa"/>
            <w:gridSpan w:val="7"/>
            <w:tcBorders>
              <w:left w:val="none" w:sz="0" w:space="0" w:color="auto"/>
              <w:bottom w:val="none" w:sz="0" w:space="0" w:color="auto"/>
              <w:right w:val="single" w:sz="4" w:space="0" w:color="auto"/>
            </w:tcBorders>
            <w:noWrap/>
          </w:tcPr>
          <w:p w14:paraId="78934AC1" w14:textId="5E9D645B" w:rsidR="00AD1584" w:rsidRPr="00617370" w:rsidRDefault="00AD1584" w:rsidP="00E21F84">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ATAR recipient</w:t>
            </w:r>
          </w:p>
        </w:tc>
        <w:tc>
          <w:tcPr>
            <w:tcW w:w="3646" w:type="dxa"/>
            <w:gridSpan w:val="5"/>
            <w:tcBorders>
              <w:left w:val="single" w:sz="4" w:space="0" w:color="auto"/>
              <w:bottom w:val="none" w:sz="0" w:space="0" w:color="auto"/>
            </w:tcBorders>
            <w:noWrap/>
            <w:vAlign w:val="center"/>
          </w:tcPr>
          <w:p w14:paraId="5DAEDB84" w14:textId="0FAE3C91" w:rsidR="00AD1584" w:rsidRPr="00617370" w:rsidRDefault="00AD1584" w:rsidP="00E21F84">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ATAR high achievers</w:t>
            </w:r>
          </w:p>
        </w:tc>
      </w:tr>
      <w:tr w:rsidR="00AD1584" w:rsidRPr="00617370" w14:paraId="3FEEFAEE"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7" w:type="dxa"/>
            <w:tcBorders>
              <w:top w:val="none" w:sz="0" w:space="0" w:color="auto"/>
              <w:bottom w:val="none" w:sz="0" w:space="0" w:color="auto"/>
            </w:tcBorders>
            <w:noWrap/>
          </w:tcPr>
          <w:p w14:paraId="5A5999C9" w14:textId="77777777" w:rsidR="00AD1584" w:rsidRPr="00617370" w:rsidRDefault="00AD1584" w:rsidP="00E21F84">
            <w:pPr>
              <w:pStyle w:val="Tablehead2"/>
              <w:jc w:val="center"/>
            </w:pPr>
          </w:p>
        </w:tc>
        <w:tc>
          <w:tcPr>
            <w:tcW w:w="1505" w:type="dxa"/>
            <w:gridSpan w:val="3"/>
            <w:tcBorders>
              <w:top w:val="none" w:sz="0" w:space="0" w:color="auto"/>
              <w:bottom w:val="none" w:sz="0" w:space="0" w:color="auto"/>
            </w:tcBorders>
            <w:noWrap/>
          </w:tcPr>
          <w:p w14:paraId="197A707E" w14:textId="76DD8F2F" w:rsidR="00AD1584" w:rsidRPr="00617370" w:rsidRDefault="00AD1584"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Yes</w:t>
            </w:r>
          </w:p>
        </w:tc>
        <w:tc>
          <w:tcPr>
            <w:tcW w:w="1505" w:type="dxa"/>
            <w:gridSpan w:val="3"/>
            <w:tcBorders>
              <w:top w:val="none" w:sz="0" w:space="0" w:color="auto"/>
              <w:bottom w:val="none" w:sz="0" w:space="0" w:color="auto"/>
            </w:tcBorders>
            <w:vAlign w:val="center"/>
          </w:tcPr>
          <w:p w14:paraId="1B34BD49" w14:textId="7D0564AB" w:rsidR="00AD1584" w:rsidRPr="00617370" w:rsidRDefault="00AD1584"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No</w:t>
            </w:r>
          </w:p>
        </w:tc>
        <w:tc>
          <w:tcPr>
            <w:tcW w:w="615" w:type="dxa"/>
            <w:tcBorders>
              <w:top w:val="none" w:sz="0" w:space="0" w:color="auto"/>
              <w:bottom w:val="none" w:sz="0" w:space="0" w:color="auto"/>
              <w:right w:val="single" w:sz="4" w:space="0" w:color="auto"/>
            </w:tcBorders>
            <w:shd w:val="clear" w:color="auto" w:fill="F2F2F2" w:themeFill="background1" w:themeFillShade="F2"/>
            <w:vAlign w:val="center"/>
          </w:tcPr>
          <w:p w14:paraId="514E6AF7" w14:textId="394B3778" w:rsidR="00AD1584" w:rsidRPr="00617370" w:rsidRDefault="00AD1584"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Total</w:t>
            </w:r>
          </w:p>
        </w:tc>
        <w:tc>
          <w:tcPr>
            <w:tcW w:w="1501" w:type="dxa"/>
            <w:gridSpan w:val="2"/>
            <w:tcBorders>
              <w:top w:val="none" w:sz="0" w:space="0" w:color="auto"/>
              <w:bottom w:val="none" w:sz="0" w:space="0" w:color="auto"/>
            </w:tcBorders>
            <w:noWrap/>
            <w:vAlign w:val="center"/>
          </w:tcPr>
          <w:p w14:paraId="366DB85B" w14:textId="6982B610" w:rsidR="00AD1584" w:rsidRPr="00617370" w:rsidRDefault="00AD1584"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Yes</w:t>
            </w:r>
          </w:p>
        </w:tc>
        <w:tc>
          <w:tcPr>
            <w:tcW w:w="1501" w:type="dxa"/>
            <w:gridSpan w:val="2"/>
            <w:tcBorders>
              <w:top w:val="none" w:sz="0" w:space="0" w:color="auto"/>
              <w:bottom w:val="none" w:sz="0" w:space="0" w:color="auto"/>
            </w:tcBorders>
          </w:tcPr>
          <w:p w14:paraId="64EC477A" w14:textId="4261400D" w:rsidR="00AD1584" w:rsidRPr="00617370" w:rsidRDefault="00AD1584"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No</w:t>
            </w:r>
          </w:p>
        </w:tc>
        <w:tc>
          <w:tcPr>
            <w:tcW w:w="644" w:type="dxa"/>
            <w:tcBorders>
              <w:top w:val="none" w:sz="0" w:space="0" w:color="auto"/>
              <w:bottom w:val="none" w:sz="0" w:space="0" w:color="auto"/>
            </w:tcBorders>
            <w:shd w:val="clear" w:color="auto" w:fill="F2F2F2" w:themeFill="background1" w:themeFillShade="F2"/>
            <w:vAlign w:val="center"/>
          </w:tcPr>
          <w:p w14:paraId="577F0BA7" w14:textId="18E6D9DA" w:rsidR="00AD1584" w:rsidRPr="00617370" w:rsidRDefault="00AD1584" w:rsidP="00E21F84">
            <w:pPr>
              <w:pStyle w:val="Tablehead2"/>
              <w:jc w:val="center"/>
              <w:cnfStyle w:val="000000100000" w:firstRow="0" w:lastRow="0" w:firstColumn="0" w:lastColumn="0" w:oddVBand="0" w:evenVBand="0" w:oddHBand="1" w:evenHBand="0" w:firstRowFirstColumn="0" w:firstRowLastColumn="0" w:lastRowFirstColumn="0" w:lastRowLastColumn="0"/>
            </w:pPr>
            <w:r w:rsidRPr="00617370">
              <w:t>Total</w:t>
            </w:r>
          </w:p>
        </w:tc>
      </w:tr>
      <w:tr w:rsidR="000E6906" w:rsidRPr="00617370" w14:paraId="01D5AB59"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27" w:type="dxa"/>
            <w:tcBorders>
              <w:bottom w:val="single" w:sz="4" w:space="0" w:color="auto"/>
            </w:tcBorders>
            <w:noWrap/>
          </w:tcPr>
          <w:p w14:paraId="60A8A5BA" w14:textId="77777777" w:rsidR="009B4D58" w:rsidRPr="00617370" w:rsidRDefault="009B4D58" w:rsidP="00E21F84">
            <w:pPr>
              <w:pStyle w:val="Tablehead3"/>
              <w:jc w:val="center"/>
              <w:rPr>
                <w:sz w:val="16"/>
                <w:szCs w:val="16"/>
              </w:rPr>
            </w:pPr>
          </w:p>
        </w:tc>
        <w:tc>
          <w:tcPr>
            <w:tcW w:w="624" w:type="dxa"/>
            <w:tcBorders>
              <w:bottom w:val="single" w:sz="4" w:space="0" w:color="auto"/>
            </w:tcBorders>
            <w:noWrap/>
            <w:vAlign w:val="center"/>
          </w:tcPr>
          <w:p w14:paraId="40EAC6BC" w14:textId="77777777"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n</w:t>
            </w:r>
          </w:p>
        </w:tc>
        <w:tc>
          <w:tcPr>
            <w:tcW w:w="872" w:type="dxa"/>
            <w:tcBorders>
              <w:bottom w:val="single" w:sz="4" w:space="0" w:color="auto"/>
            </w:tcBorders>
            <w:vAlign w:val="center"/>
          </w:tcPr>
          <w:p w14:paraId="09D6DEEF" w14:textId="164CCF25"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Mean</w:t>
            </w:r>
            <w:r w:rsidR="003E75CD" w:rsidRPr="00617370">
              <w:rPr>
                <w:sz w:val="16"/>
                <w:szCs w:val="16"/>
              </w:rPr>
              <w:br/>
            </w:r>
            <w:r w:rsidRPr="00617370">
              <w:rPr>
                <w:sz w:val="16"/>
                <w:szCs w:val="16"/>
              </w:rPr>
              <w:t>(std err.)</w:t>
            </w:r>
          </w:p>
        </w:tc>
        <w:tc>
          <w:tcPr>
            <w:tcW w:w="624" w:type="dxa"/>
            <w:gridSpan w:val="2"/>
            <w:tcBorders>
              <w:bottom w:val="single" w:sz="4" w:space="0" w:color="auto"/>
            </w:tcBorders>
            <w:vAlign w:val="center"/>
          </w:tcPr>
          <w:p w14:paraId="133338FD" w14:textId="77777777"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n</w:t>
            </w:r>
          </w:p>
        </w:tc>
        <w:tc>
          <w:tcPr>
            <w:tcW w:w="878" w:type="dxa"/>
            <w:tcBorders>
              <w:bottom w:val="single" w:sz="4" w:space="0" w:color="auto"/>
            </w:tcBorders>
            <w:vAlign w:val="center"/>
          </w:tcPr>
          <w:p w14:paraId="2D97AEE7" w14:textId="6ED12779" w:rsidR="009B4D58" w:rsidRPr="00617370" w:rsidRDefault="009B4D58" w:rsidP="003E75CD">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Mean</w:t>
            </w:r>
            <w:r w:rsidR="003E75CD" w:rsidRPr="00617370">
              <w:rPr>
                <w:sz w:val="16"/>
                <w:szCs w:val="16"/>
              </w:rPr>
              <w:br/>
            </w:r>
            <w:r w:rsidRPr="00617370">
              <w:rPr>
                <w:sz w:val="16"/>
                <w:szCs w:val="16"/>
              </w:rPr>
              <w:t>(std err.)</w:t>
            </w:r>
          </w:p>
        </w:tc>
        <w:tc>
          <w:tcPr>
            <w:tcW w:w="627" w:type="dxa"/>
            <w:gridSpan w:val="2"/>
            <w:tcBorders>
              <w:left w:val="nil"/>
              <w:bottom w:val="single" w:sz="4" w:space="0" w:color="auto"/>
              <w:right w:val="single" w:sz="4" w:space="0" w:color="auto"/>
            </w:tcBorders>
            <w:shd w:val="clear" w:color="auto" w:fill="F2F2F2" w:themeFill="background1" w:themeFillShade="F2"/>
            <w:vAlign w:val="center"/>
          </w:tcPr>
          <w:p w14:paraId="2F1D9ED9" w14:textId="77777777"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4" w:type="dxa"/>
            <w:tcBorders>
              <w:bottom w:val="single" w:sz="4" w:space="0" w:color="auto"/>
            </w:tcBorders>
            <w:noWrap/>
            <w:vAlign w:val="center"/>
          </w:tcPr>
          <w:p w14:paraId="1E63B6E3" w14:textId="77777777"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n</w:t>
            </w:r>
          </w:p>
        </w:tc>
        <w:tc>
          <w:tcPr>
            <w:tcW w:w="877" w:type="dxa"/>
            <w:tcBorders>
              <w:bottom w:val="single" w:sz="4" w:space="0" w:color="auto"/>
            </w:tcBorders>
            <w:vAlign w:val="center"/>
          </w:tcPr>
          <w:p w14:paraId="726BE3F3" w14:textId="74388160"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Mean</w:t>
            </w:r>
            <w:r w:rsidR="003E75CD" w:rsidRPr="00617370">
              <w:rPr>
                <w:sz w:val="16"/>
                <w:szCs w:val="16"/>
              </w:rPr>
              <w:br/>
            </w:r>
            <w:r w:rsidRPr="00617370">
              <w:rPr>
                <w:sz w:val="16"/>
                <w:szCs w:val="16"/>
              </w:rPr>
              <w:t>(std err.)</w:t>
            </w:r>
          </w:p>
        </w:tc>
        <w:tc>
          <w:tcPr>
            <w:tcW w:w="624" w:type="dxa"/>
            <w:tcBorders>
              <w:left w:val="nil"/>
              <w:bottom w:val="single" w:sz="4" w:space="0" w:color="auto"/>
            </w:tcBorders>
            <w:vAlign w:val="center"/>
          </w:tcPr>
          <w:p w14:paraId="3014D80A" w14:textId="77777777"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n</w:t>
            </w:r>
          </w:p>
        </w:tc>
        <w:tc>
          <w:tcPr>
            <w:tcW w:w="877" w:type="dxa"/>
            <w:tcBorders>
              <w:left w:val="nil"/>
              <w:bottom w:val="single" w:sz="4" w:space="0" w:color="auto"/>
            </w:tcBorders>
            <w:vAlign w:val="center"/>
          </w:tcPr>
          <w:p w14:paraId="2AB0CDBA" w14:textId="7D7D783E"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r w:rsidRPr="00617370">
              <w:rPr>
                <w:sz w:val="16"/>
                <w:szCs w:val="16"/>
              </w:rPr>
              <w:t>Mean</w:t>
            </w:r>
            <w:r w:rsidR="003E75CD" w:rsidRPr="00617370">
              <w:rPr>
                <w:sz w:val="16"/>
                <w:szCs w:val="16"/>
              </w:rPr>
              <w:br/>
            </w:r>
            <w:r w:rsidRPr="00617370">
              <w:rPr>
                <w:sz w:val="16"/>
                <w:szCs w:val="16"/>
              </w:rPr>
              <w:t>(std err.)</w:t>
            </w:r>
          </w:p>
        </w:tc>
        <w:tc>
          <w:tcPr>
            <w:tcW w:w="644" w:type="dxa"/>
            <w:tcBorders>
              <w:left w:val="nil"/>
              <w:bottom w:val="single" w:sz="4" w:space="0" w:color="auto"/>
            </w:tcBorders>
            <w:shd w:val="clear" w:color="auto" w:fill="F2F2F2" w:themeFill="background1" w:themeFillShade="F2"/>
            <w:vAlign w:val="center"/>
          </w:tcPr>
          <w:p w14:paraId="5BD12718" w14:textId="77777777" w:rsidR="009B4D58" w:rsidRPr="00617370" w:rsidRDefault="009B4D58" w:rsidP="00E21F84">
            <w:pPr>
              <w:pStyle w:val="Tablehead3"/>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0E6906" w:rsidRPr="00617370" w14:paraId="79176270"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7" w:type="dxa"/>
            <w:tcBorders>
              <w:top w:val="single" w:sz="4" w:space="0" w:color="auto"/>
            </w:tcBorders>
            <w:noWrap/>
            <w:vAlign w:val="center"/>
            <w:hideMark/>
          </w:tcPr>
          <w:p w14:paraId="7D1B30D2" w14:textId="77777777" w:rsidR="009B4D58" w:rsidRPr="00617370" w:rsidRDefault="009B4D58" w:rsidP="00AC560C">
            <w:pPr>
              <w:pStyle w:val="Tabletext"/>
              <w:rPr>
                <w:b w:val="0"/>
                <w:bCs/>
              </w:rPr>
            </w:pPr>
            <w:r w:rsidRPr="00617370">
              <w:rPr>
                <w:b w:val="0"/>
                <w:bCs/>
              </w:rPr>
              <w:t>Year 9 reading score</w:t>
            </w:r>
          </w:p>
        </w:tc>
        <w:tc>
          <w:tcPr>
            <w:tcW w:w="624" w:type="dxa"/>
            <w:tcBorders>
              <w:top w:val="single" w:sz="4" w:space="0" w:color="auto"/>
            </w:tcBorders>
            <w:noWrap/>
            <w:vAlign w:val="center"/>
          </w:tcPr>
          <w:p w14:paraId="172CF10A" w14:textId="3E07C994"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956</w:t>
            </w:r>
          </w:p>
        </w:tc>
        <w:tc>
          <w:tcPr>
            <w:tcW w:w="872" w:type="dxa"/>
            <w:tcBorders>
              <w:top w:val="single" w:sz="4" w:space="0" w:color="auto"/>
            </w:tcBorders>
            <w:vAlign w:val="center"/>
          </w:tcPr>
          <w:p w14:paraId="3227C3B5"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629.47 (1.35)</w:t>
            </w:r>
          </w:p>
        </w:tc>
        <w:tc>
          <w:tcPr>
            <w:tcW w:w="624" w:type="dxa"/>
            <w:gridSpan w:val="2"/>
            <w:tcBorders>
              <w:top w:val="single" w:sz="4" w:space="0" w:color="auto"/>
            </w:tcBorders>
            <w:vAlign w:val="center"/>
          </w:tcPr>
          <w:p w14:paraId="3A8BBDA3"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354</w:t>
            </w:r>
          </w:p>
        </w:tc>
        <w:tc>
          <w:tcPr>
            <w:tcW w:w="878" w:type="dxa"/>
            <w:tcBorders>
              <w:top w:val="single" w:sz="4" w:space="0" w:color="auto"/>
            </w:tcBorders>
            <w:vAlign w:val="center"/>
          </w:tcPr>
          <w:p w14:paraId="1DF6E99D"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563.48 (3.11)</w:t>
            </w:r>
          </w:p>
        </w:tc>
        <w:tc>
          <w:tcPr>
            <w:tcW w:w="627" w:type="dxa"/>
            <w:gridSpan w:val="2"/>
            <w:tcBorders>
              <w:top w:val="single" w:sz="4" w:space="0" w:color="auto"/>
              <w:right w:val="single" w:sz="4" w:space="0" w:color="auto"/>
            </w:tcBorders>
            <w:shd w:val="clear" w:color="auto" w:fill="F2F2F2" w:themeFill="background1" w:themeFillShade="F2"/>
            <w:vAlign w:val="center"/>
          </w:tcPr>
          <w:p w14:paraId="246CE5E2"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rPr>
                <w:bCs/>
              </w:rPr>
            </w:pPr>
          </w:p>
        </w:tc>
        <w:tc>
          <w:tcPr>
            <w:tcW w:w="624" w:type="dxa"/>
            <w:tcBorders>
              <w:top w:val="single" w:sz="4" w:space="0" w:color="auto"/>
            </w:tcBorders>
            <w:noWrap/>
            <w:vAlign w:val="center"/>
          </w:tcPr>
          <w:p w14:paraId="00BBCB46" w14:textId="77777777" w:rsidR="009B4D58" w:rsidRPr="00617370" w:rsidDel="007D7DAC"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423</w:t>
            </w:r>
          </w:p>
        </w:tc>
        <w:tc>
          <w:tcPr>
            <w:tcW w:w="877" w:type="dxa"/>
            <w:tcBorders>
              <w:top w:val="single" w:sz="4" w:space="0" w:color="auto"/>
            </w:tcBorders>
            <w:vAlign w:val="center"/>
          </w:tcPr>
          <w:p w14:paraId="3F71EA70"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674.94 (2.56)</w:t>
            </w:r>
          </w:p>
        </w:tc>
        <w:tc>
          <w:tcPr>
            <w:tcW w:w="624" w:type="dxa"/>
            <w:tcBorders>
              <w:top w:val="single" w:sz="4" w:space="0" w:color="auto"/>
            </w:tcBorders>
            <w:vAlign w:val="center"/>
          </w:tcPr>
          <w:p w14:paraId="103B9266" w14:textId="3426950D"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056</w:t>
            </w:r>
          </w:p>
        </w:tc>
        <w:tc>
          <w:tcPr>
            <w:tcW w:w="877" w:type="dxa"/>
            <w:tcBorders>
              <w:top w:val="single" w:sz="4" w:space="0" w:color="auto"/>
            </w:tcBorders>
            <w:vAlign w:val="center"/>
          </w:tcPr>
          <w:p w14:paraId="586C0B79"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622.39 (1.63)</w:t>
            </w:r>
          </w:p>
        </w:tc>
        <w:tc>
          <w:tcPr>
            <w:tcW w:w="644" w:type="dxa"/>
            <w:tcBorders>
              <w:top w:val="single" w:sz="4" w:space="0" w:color="auto"/>
            </w:tcBorders>
            <w:shd w:val="clear" w:color="auto" w:fill="F2F2F2" w:themeFill="background1" w:themeFillShade="F2"/>
            <w:vAlign w:val="center"/>
          </w:tcPr>
          <w:p w14:paraId="4401188B"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rPr>
                <w:bCs/>
              </w:rPr>
            </w:pPr>
          </w:p>
        </w:tc>
      </w:tr>
      <w:tr w:rsidR="000E6906" w:rsidRPr="00617370" w14:paraId="1CBC3066"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27" w:type="dxa"/>
            <w:noWrap/>
            <w:vAlign w:val="center"/>
            <w:hideMark/>
          </w:tcPr>
          <w:p w14:paraId="112849A4" w14:textId="77777777" w:rsidR="009B4D58" w:rsidRPr="00617370" w:rsidRDefault="009B4D58" w:rsidP="00AC560C">
            <w:pPr>
              <w:pStyle w:val="Tabletext"/>
              <w:rPr>
                <w:b w:val="0"/>
                <w:bCs/>
              </w:rPr>
            </w:pPr>
            <w:r w:rsidRPr="00617370">
              <w:rPr>
                <w:b w:val="0"/>
                <w:bCs/>
              </w:rPr>
              <w:t>Year 9 numeracy score</w:t>
            </w:r>
          </w:p>
        </w:tc>
        <w:tc>
          <w:tcPr>
            <w:tcW w:w="624" w:type="dxa"/>
            <w:noWrap/>
            <w:vAlign w:val="center"/>
          </w:tcPr>
          <w:p w14:paraId="519DE23B" w14:textId="77C6BCCA"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1</w:t>
            </w:r>
            <w:r w:rsidR="00BB57AD" w:rsidRPr="00617370">
              <w:t xml:space="preserve"> </w:t>
            </w:r>
            <w:r w:rsidRPr="00617370">
              <w:t>956</w:t>
            </w:r>
          </w:p>
        </w:tc>
        <w:tc>
          <w:tcPr>
            <w:tcW w:w="872" w:type="dxa"/>
            <w:vAlign w:val="center"/>
          </w:tcPr>
          <w:p w14:paraId="30FCE07B"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635.00 (1.59)</w:t>
            </w:r>
          </w:p>
        </w:tc>
        <w:tc>
          <w:tcPr>
            <w:tcW w:w="624" w:type="dxa"/>
            <w:gridSpan w:val="2"/>
            <w:vAlign w:val="center"/>
          </w:tcPr>
          <w:p w14:paraId="703C8980"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354</w:t>
            </w:r>
          </w:p>
        </w:tc>
        <w:tc>
          <w:tcPr>
            <w:tcW w:w="878" w:type="dxa"/>
            <w:vAlign w:val="center"/>
          </w:tcPr>
          <w:p w14:paraId="5D73E3E4"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565.65 (2.79)</w:t>
            </w:r>
          </w:p>
        </w:tc>
        <w:tc>
          <w:tcPr>
            <w:tcW w:w="627" w:type="dxa"/>
            <w:gridSpan w:val="2"/>
            <w:tcBorders>
              <w:left w:val="nil"/>
              <w:right w:val="single" w:sz="4" w:space="0" w:color="auto"/>
            </w:tcBorders>
            <w:shd w:val="clear" w:color="auto" w:fill="F2F2F2" w:themeFill="background1" w:themeFillShade="F2"/>
            <w:vAlign w:val="center"/>
          </w:tcPr>
          <w:p w14:paraId="41FA8D5A"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rPr>
                <w:bCs/>
              </w:rPr>
            </w:pPr>
          </w:p>
        </w:tc>
        <w:tc>
          <w:tcPr>
            <w:tcW w:w="624" w:type="dxa"/>
            <w:noWrap/>
            <w:vAlign w:val="center"/>
          </w:tcPr>
          <w:p w14:paraId="440D8246"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423</w:t>
            </w:r>
          </w:p>
        </w:tc>
        <w:tc>
          <w:tcPr>
            <w:tcW w:w="877" w:type="dxa"/>
            <w:vAlign w:val="center"/>
          </w:tcPr>
          <w:p w14:paraId="554B8355"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690.68 (3.36)</w:t>
            </w:r>
          </w:p>
        </w:tc>
        <w:tc>
          <w:tcPr>
            <w:tcW w:w="624" w:type="dxa"/>
            <w:tcBorders>
              <w:left w:val="nil"/>
            </w:tcBorders>
            <w:vAlign w:val="center"/>
          </w:tcPr>
          <w:p w14:paraId="4CFA2DCB" w14:textId="68D2DAE8"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1</w:t>
            </w:r>
            <w:r w:rsidR="00BB57AD" w:rsidRPr="00617370">
              <w:t xml:space="preserve"> </w:t>
            </w:r>
            <w:r w:rsidRPr="00617370">
              <w:t>056</w:t>
            </w:r>
          </w:p>
        </w:tc>
        <w:tc>
          <w:tcPr>
            <w:tcW w:w="877" w:type="dxa"/>
            <w:tcBorders>
              <w:left w:val="nil"/>
            </w:tcBorders>
            <w:vAlign w:val="center"/>
          </w:tcPr>
          <w:p w14:paraId="34BB9D63"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pPr>
            <w:r w:rsidRPr="00617370">
              <w:t>624.17 (1.85)</w:t>
            </w:r>
          </w:p>
        </w:tc>
        <w:tc>
          <w:tcPr>
            <w:tcW w:w="644" w:type="dxa"/>
            <w:tcBorders>
              <w:left w:val="nil"/>
            </w:tcBorders>
            <w:shd w:val="clear" w:color="auto" w:fill="F2F2F2" w:themeFill="background1" w:themeFillShade="F2"/>
            <w:vAlign w:val="center"/>
          </w:tcPr>
          <w:p w14:paraId="1C91B43C" w14:textId="77777777" w:rsidR="009B4D58" w:rsidRPr="00617370" w:rsidRDefault="009B4D58" w:rsidP="00BB57AD">
            <w:pPr>
              <w:pStyle w:val="Tabletext"/>
              <w:jc w:val="center"/>
              <w:cnfStyle w:val="000000000000" w:firstRow="0" w:lastRow="0" w:firstColumn="0" w:lastColumn="0" w:oddVBand="0" w:evenVBand="0" w:oddHBand="0" w:evenHBand="0" w:firstRowFirstColumn="0" w:firstRowLastColumn="0" w:lastRowFirstColumn="0" w:lastRowLastColumn="0"/>
              <w:rPr>
                <w:bCs/>
              </w:rPr>
            </w:pPr>
          </w:p>
        </w:tc>
      </w:tr>
      <w:tr w:rsidR="000E6906" w:rsidRPr="00617370" w14:paraId="589D8A79" w14:textId="77777777" w:rsidTr="008C668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7" w:type="dxa"/>
            <w:tcBorders>
              <w:bottom w:val="single" w:sz="4" w:space="0" w:color="auto"/>
            </w:tcBorders>
            <w:noWrap/>
            <w:vAlign w:val="center"/>
            <w:hideMark/>
          </w:tcPr>
          <w:p w14:paraId="7A998148" w14:textId="61E7BF1D" w:rsidR="009B4D58" w:rsidRPr="00617370" w:rsidRDefault="009B4D58" w:rsidP="00AC560C">
            <w:pPr>
              <w:pStyle w:val="Tabletext"/>
              <w:rPr>
                <w:b w:val="0"/>
                <w:bCs/>
              </w:rPr>
            </w:pPr>
            <w:r w:rsidRPr="00617370">
              <w:rPr>
                <w:b w:val="0"/>
                <w:bCs/>
              </w:rPr>
              <w:t>Sum of Year 9 reading and numeracy score</w:t>
            </w:r>
            <w:r w:rsidR="00C40095" w:rsidRPr="00617370">
              <w:rPr>
                <w:b w:val="0"/>
                <w:bCs/>
              </w:rPr>
              <w:t>s</w:t>
            </w:r>
          </w:p>
        </w:tc>
        <w:tc>
          <w:tcPr>
            <w:tcW w:w="624" w:type="dxa"/>
            <w:tcBorders>
              <w:bottom w:val="single" w:sz="4" w:space="0" w:color="auto"/>
            </w:tcBorders>
            <w:noWrap/>
            <w:vAlign w:val="center"/>
          </w:tcPr>
          <w:p w14:paraId="6E01AB41" w14:textId="763EBD12"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956</w:t>
            </w:r>
          </w:p>
        </w:tc>
        <w:tc>
          <w:tcPr>
            <w:tcW w:w="872" w:type="dxa"/>
            <w:tcBorders>
              <w:bottom w:val="single" w:sz="4" w:space="0" w:color="auto"/>
            </w:tcBorders>
            <w:vAlign w:val="center"/>
          </w:tcPr>
          <w:p w14:paraId="5113BF71" w14:textId="445E3A1F"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264.48 (2.65)</w:t>
            </w:r>
          </w:p>
        </w:tc>
        <w:tc>
          <w:tcPr>
            <w:tcW w:w="624" w:type="dxa"/>
            <w:gridSpan w:val="2"/>
            <w:tcBorders>
              <w:bottom w:val="single" w:sz="4" w:space="0" w:color="auto"/>
            </w:tcBorders>
            <w:vAlign w:val="center"/>
          </w:tcPr>
          <w:p w14:paraId="7DA4425D"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354</w:t>
            </w:r>
          </w:p>
        </w:tc>
        <w:tc>
          <w:tcPr>
            <w:tcW w:w="878" w:type="dxa"/>
            <w:tcBorders>
              <w:bottom w:val="single" w:sz="4" w:space="0" w:color="auto"/>
            </w:tcBorders>
            <w:vAlign w:val="center"/>
          </w:tcPr>
          <w:p w14:paraId="2192F4B4" w14:textId="58A189A9"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129.13 (5.31)</w:t>
            </w:r>
          </w:p>
        </w:tc>
        <w:tc>
          <w:tcPr>
            <w:tcW w:w="627" w:type="dxa"/>
            <w:gridSpan w:val="2"/>
            <w:tcBorders>
              <w:bottom w:val="single" w:sz="4" w:space="0" w:color="auto"/>
              <w:right w:val="single" w:sz="4" w:space="0" w:color="auto"/>
            </w:tcBorders>
            <w:shd w:val="clear" w:color="auto" w:fill="F2F2F2" w:themeFill="background1" w:themeFillShade="F2"/>
            <w:vAlign w:val="center"/>
          </w:tcPr>
          <w:p w14:paraId="1DC26E3E"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rPr>
                <w:bCs/>
              </w:rPr>
            </w:pPr>
          </w:p>
        </w:tc>
        <w:tc>
          <w:tcPr>
            <w:tcW w:w="624" w:type="dxa"/>
            <w:tcBorders>
              <w:bottom w:val="single" w:sz="4" w:space="0" w:color="auto"/>
            </w:tcBorders>
            <w:noWrap/>
            <w:vAlign w:val="center"/>
          </w:tcPr>
          <w:p w14:paraId="470BF3A0"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423</w:t>
            </w:r>
          </w:p>
        </w:tc>
        <w:tc>
          <w:tcPr>
            <w:tcW w:w="877" w:type="dxa"/>
            <w:tcBorders>
              <w:bottom w:val="single" w:sz="4" w:space="0" w:color="auto"/>
            </w:tcBorders>
            <w:vAlign w:val="center"/>
          </w:tcPr>
          <w:p w14:paraId="308E1652" w14:textId="54EB88BC"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365.62 (4.99)</w:t>
            </w:r>
          </w:p>
        </w:tc>
        <w:tc>
          <w:tcPr>
            <w:tcW w:w="624" w:type="dxa"/>
            <w:tcBorders>
              <w:bottom w:val="single" w:sz="4" w:space="0" w:color="auto"/>
            </w:tcBorders>
            <w:vAlign w:val="center"/>
          </w:tcPr>
          <w:p w14:paraId="55FB0F6B" w14:textId="6359D54B"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056</w:t>
            </w:r>
          </w:p>
        </w:tc>
        <w:tc>
          <w:tcPr>
            <w:tcW w:w="877" w:type="dxa"/>
            <w:tcBorders>
              <w:bottom w:val="single" w:sz="4" w:space="0" w:color="auto"/>
            </w:tcBorders>
            <w:vAlign w:val="center"/>
          </w:tcPr>
          <w:p w14:paraId="1B8B6E97" w14:textId="60016DA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BB57AD" w:rsidRPr="00617370">
              <w:t xml:space="preserve"> </w:t>
            </w:r>
            <w:r w:rsidRPr="00617370">
              <w:t>246.56 (3.07)</w:t>
            </w:r>
          </w:p>
        </w:tc>
        <w:tc>
          <w:tcPr>
            <w:tcW w:w="644" w:type="dxa"/>
            <w:tcBorders>
              <w:bottom w:val="single" w:sz="4" w:space="0" w:color="auto"/>
            </w:tcBorders>
            <w:shd w:val="clear" w:color="auto" w:fill="F2F2F2" w:themeFill="background1" w:themeFillShade="F2"/>
            <w:vAlign w:val="center"/>
          </w:tcPr>
          <w:p w14:paraId="4F1E4DDA" w14:textId="77777777" w:rsidR="009B4D58" w:rsidRPr="00617370" w:rsidRDefault="009B4D58" w:rsidP="00BB57AD">
            <w:pPr>
              <w:pStyle w:val="Tabletext"/>
              <w:jc w:val="center"/>
              <w:cnfStyle w:val="000000100000" w:firstRow="0" w:lastRow="0" w:firstColumn="0" w:lastColumn="0" w:oddVBand="0" w:evenVBand="0" w:oddHBand="1" w:evenHBand="0" w:firstRowFirstColumn="0" w:firstRowLastColumn="0" w:lastRowFirstColumn="0" w:lastRowLastColumn="0"/>
              <w:rPr>
                <w:bCs/>
              </w:rPr>
            </w:pPr>
          </w:p>
        </w:tc>
      </w:tr>
      <w:tr w:rsidR="000E6906" w:rsidRPr="00617370" w14:paraId="63AAB05E" w14:textId="77777777" w:rsidTr="008C6686">
        <w:trPr>
          <w:trHeight w:val="20"/>
        </w:trPr>
        <w:tc>
          <w:tcPr>
            <w:cnfStyle w:val="001000000000" w:firstRow="0" w:lastRow="0" w:firstColumn="1" w:lastColumn="0" w:oddVBand="0" w:evenVBand="0" w:oddHBand="0" w:evenHBand="0" w:firstRowFirstColumn="0" w:firstRowLastColumn="0" w:lastRowFirstColumn="0" w:lastRowLastColumn="0"/>
            <w:tcW w:w="2227" w:type="dxa"/>
            <w:tcBorders>
              <w:top w:val="single" w:sz="4" w:space="0" w:color="auto"/>
              <w:bottom w:val="single" w:sz="4" w:space="0" w:color="auto"/>
            </w:tcBorders>
            <w:noWrap/>
            <w:hideMark/>
          </w:tcPr>
          <w:p w14:paraId="66E8D0CA" w14:textId="7B7C1D79" w:rsidR="00E21F84" w:rsidRPr="00617370" w:rsidRDefault="00E21F84" w:rsidP="00AC560C">
            <w:pPr>
              <w:pStyle w:val="Tabletext"/>
              <w:rPr>
                <w:bCs/>
              </w:rPr>
            </w:pPr>
            <w:r w:rsidRPr="00617370">
              <w:rPr>
                <w:bCs/>
              </w:rPr>
              <w:t>Total</w:t>
            </w:r>
          </w:p>
        </w:tc>
        <w:tc>
          <w:tcPr>
            <w:tcW w:w="624" w:type="dxa"/>
            <w:tcBorders>
              <w:top w:val="single" w:sz="4" w:space="0" w:color="auto"/>
              <w:bottom w:val="single" w:sz="4" w:space="0" w:color="auto"/>
            </w:tcBorders>
            <w:noWrap/>
            <w:vAlign w:val="center"/>
            <w:hideMark/>
          </w:tcPr>
          <w:p w14:paraId="0C9EBB70" w14:textId="25541EE4"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617370">
              <w:rPr>
                <w:b/>
                <w:bCs/>
              </w:rPr>
              <w:t>1</w:t>
            </w:r>
            <w:r w:rsidR="00BB57AD" w:rsidRPr="00617370">
              <w:rPr>
                <w:b/>
                <w:bCs/>
              </w:rPr>
              <w:t xml:space="preserve"> </w:t>
            </w:r>
            <w:r w:rsidRPr="00617370">
              <w:rPr>
                <w:b/>
                <w:bCs/>
              </w:rPr>
              <w:t>956</w:t>
            </w:r>
          </w:p>
        </w:tc>
        <w:tc>
          <w:tcPr>
            <w:tcW w:w="872" w:type="dxa"/>
            <w:tcBorders>
              <w:top w:val="single" w:sz="4" w:space="0" w:color="auto"/>
              <w:bottom w:val="single" w:sz="4" w:space="0" w:color="auto"/>
            </w:tcBorders>
            <w:noWrap/>
            <w:vAlign w:val="center"/>
            <w:hideMark/>
          </w:tcPr>
          <w:p w14:paraId="40897A4D" w14:textId="77777777"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624" w:type="dxa"/>
            <w:gridSpan w:val="2"/>
            <w:tcBorders>
              <w:top w:val="single" w:sz="4" w:space="0" w:color="auto"/>
              <w:bottom w:val="single" w:sz="4" w:space="0" w:color="auto"/>
            </w:tcBorders>
            <w:noWrap/>
            <w:vAlign w:val="center"/>
            <w:hideMark/>
          </w:tcPr>
          <w:p w14:paraId="7525A1CE" w14:textId="463AAA11"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617370">
              <w:rPr>
                <w:b/>
                <w:bCs/>
              </w:rPr>
              <w:t>354</w:t>
            </w:r>
          </w:p>
        </w:tc>
        <w:tc>
          <w:tcPr>
            <w:tcW w:w="878" w:type="dxa"/>
            <w:tcBorders>
              <w:top w:val="single" w:sz="4" w:space="0" w:color="auto"/>
              <w:bottom w:val="single" w:sz="4" w:space="0" w:color="auto"/>
            </w:tcBorders>
            <w:noWrap/>
            <w:vAlign w:val="center"/>
            <w:hideMark/>
          </w:tcPr>
          <w:p w14:paraId="3FBD40C4" w14:textId="77777777"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627" w:type="dxa"/>
            <w:gridSpan w:val="2"/>
            <w:tcBorders>
              <w:top w:val="single" w:sz="4" w:space="0" w:color="auto"/>
              <w:bottom w:val="single" w:sz="4" w:space="0" w:color="auto"/>
              <w:right w:val="single" w:sz="4" w:space="0" w:color="auto"/>
            </w:tcBorders>
            <w:shd w:val="clear" w:color="auto" w:fill="F2F2F2" w:themeFill="background1" w:themeFillShade="F2"/>
            <w:noWrap/>
            <w:vAlign w:val="center"/>
            <w:hideMark/>
          </w:tcPr>
          <w:p w14:paraId="5A6A6C74" w14:textId="053BEB60"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617370">
              <w:rPr>
                <w:b/>
                <w:bCs/>
              </w:rPr>
              <w:t>2</w:t>
            </w:r>
            <w:r w:rsidR="00BB57AD" w:rsidRPr="00617370">
              <w:rPr>
                <w:b/>
                <w:bCs/>
              </w:rPr>
              <w:t xml:space="preserve"> </w:t>
            </w:r>
            <w:r w:rsidRPr="00617370">
              <w:rPr>
                <w:b/>
                <w:bCs/>
              </w:rPr>
              <w:t>310</w:t>
            </w:r>
          </w:p>
        </w:tc>
        <w:tc>
          <w:tcPr>
            <w:tcW w:w="624" w:type="dxa"/>
            <w:tcBorders>
              <w:top w:val="single" w:sz="4" w:space="0" w:color="auto"/>
              <w:left w:val="single" w:sz="4" w:space="0" w:color="auto"/>
              <w:bottom w:val="single" w:sz="4" w:space="0" w:color="auto"/>
            </w:tcBorders>
            <w:noWrap/>
            <w:vAlign w:val="center"/>
            <w:hideMark/>
          </w:tcPr>
          <w:p w14:paraId="3FCF8265" w14:textId="2B5AAE58"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617370">
              <w:rPr>
                <w:b/>
                <w:bCs/>
              </w:rPr>
              <w:t>423</w:t>
            </w:r>
          </w:p>
        </w:tc>
        <w:tc>
          <w:tcPr>
            <w:tcW w:w="877" w:type="dxa"/>
            <w:tcBorders>
              <w:top w:val="single" w:sz="4" w:space="0" w:color="auto"/>
              <w:bottom w:val="single" w:sz="4" w:space="0" w:color="auto"/>
            </w:tcBorders>
            <w:noWrap/>
            <w:vAlign w:val="center"/>
            <w:hideMark/>
          </w:tcPr>
          <w:p w14:paraId="16CA37E2" w14:textId="77777777"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624" w:type="dxa"/>
            <w:tcBorders>
              <w:top w:val="single" w:sz="4" w:space="0" w:color="auto"/>
              <w:bottom w:val="single" w:sz="4" w:space="0" w:color="auto"/>
            </w:tcBorders>
            <w:noWrap/>
            <w:vAlign w:val="center"/>
            <w:hideMark/>
          </w:tcPr>
          <w:p w14:paraId="66CE8EC0" w14:textId="5CCFFC4E"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617370">
              <w:rPr>
                <w:b/>
                <w:bCs/>
              </w:rPr>
              <w:t>1</w:t>
            </w:r>
            <w:r w:rsidR="00BB57AD" w:rsidRPr="00617370">
              <w:rPr>
                <w:b/>
                <w:bCs/>
              </w:rPr>
              <w:t xml:space="preserve"> </w:t>
            </w:r>
            <w:r w:rsidRPr="00617370">
              <w:rPr>
                <w:b/>
                <w:bCs/>
              </w:rPr>
              <w:t>056</w:t>
            </w:r>
          </w:p>
        </w:tc>
        <w:tc>
          <w:tcPr>
            <w:tcW w:w="877" w:type="dxa"/>
            <w:tcBorders>
              <w:top w:val="single" w:sz="4" w:space="0" w:color="auto"/>
              <w:bottom w:val="single" w:sz="4" w:space="0" w:color="auto"/>
            </w:tcBorders>
            <w:noWrap/>
            <w:vAlign w:val="center"/>
            <w:hideMark/>
          </w:tcPr>
          <w:p w14:paraId="1D4737B1" w14:textId="77777777"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644" w:type="dxa"/>
            <w:tcBorders>
              <w:top w:val="single" w:sz="4" w:space="0" w:color="auto"/>
              <w:bottom w:val="single" w:sz="4" w:space="0" w:color="auto"/>
            </w:tcBorders>
            <w:shd w:val="clear" w:color="auto" w:fill="F2F2F2" w:themeFill="background1" w:themeFillShade="F2"/>
            <w:noWrap/>
            <w:vAlign w:val="center"/>
            <w:hideMark/>
          </w:tcPr>
          <w:p w14:paraId="50302FE8" w14:textId="6318F094" w:rsidR="00E21F84" w:rsidRPr="00617370" w:rsidRDefault="00E21F84" w:rsidP="00BB57A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617370">
              <w:rPr>
                <w:b/>
                <w:bCs/>
              </w:rPr>
              <w:t>1</w:t>
            </w:r>
            <w:r w:rsidR="00BB57AD" w:rsidRPr="00617370">
              <w:rPr>
                <w:b/>
                <w:bCs/>
              </w:rPr>
              <w:t xml:space="preserve"> </w:t>
            </w:r>
            <w:r w:rsidRPr="00617370">
              <w:rPr>
                <w:b/>
                <w:bCs/>
              </w:rPr>
              <w:t>479</w:t>
            </w:r>
          </w:p>
        </w:tc>
      </w:tr>
    </w:tbl>
    <w:p w14:paraId="7787F087" w14:textId="77777777" w:rsidR="001C6A5B" w:rsidRPr="00617370" w:rsidRDefault="001C6A5B">
      <w:pPr>
        <w:spacing w:before="0" w:line="240" w:lineRule="auto"/>
        <w:rPr>
          <w:rFonts w:ascii="Arial" w:hAnsi="Arial" w:cs="Tahoma"/>
          <w:sz w:val="28"/>
        </w:rPr>
      </w:pPr>
      <w:bookmarkStart w:id="47" w:name="_Toc166511940"/>
      <w:r w:rsidRPr="00617370">
        <w:br w:type="page"/>
      </w:r>
    </w:p>
    <w:p w14:paraId="68C94DB4" w14:textId="52B7FD94" w:rsidR="00F371F7" w:rsidRPr="00617370" w:rsidRDefault="00F371F7" w:rsidP="00F371F7">
      <w:pPr>
        <w:pStyle w:val="Heading2"/>
      </w:pPr>
      <w:r w:rsidRPr="00617370">
        <w:lastRenderedPageBreak/>
        <w:t>Methodology</w:t>
      </w:r>
      <w:bookmarkEnd w:id="47"/>
    </w:p>
    <w:p w14:paraId="0DB6F1FF" w14:textId="7B30136D" w:rsidR="00F371F7" w:rsidRPr="00617370" w:rsidRDefault="00004087" w:rsidP="00F371F7">
      <w:pPr>
        <w:pStyle w:val="Text"/>
      </w:pPr>
      <w:r w:rsidRPr="00617370">
        <w:t xml:space="preserve">We </w:t>
      </w:r>
      <w:r w:rsidR="00F371F7" w:rsidRPr="00617370">
        <w:t>analyse the association between NAPLAN achievement scores, respondents</w:t>
      </w:r>
      <w:r w:rsidR="003E75CD" w:rsidRPr="00617370">
        <w:t>’</w:t>
      </w:r>
      <w:r w:rsidR="00F371F7" w:rsidRPr="00617370">
        <w:t xml:space="preserve"> demographics and ATAR </w:t>
      </w:r>
      <w:r w:rsidRPr="00617370">
        <w:t xml:space="preserve">using </w:t>
      </w:r>
      <w:r w:rsidR="00F371F7" w:rsidRPr="00617370">
        <w:t>a mixed-effect model. The mixed-effect model consists of a random effect and a fixed effect component, where</w:t>
      </w:r>
      <w:r w:rsidR="008647FD" w:rsidRPr="00617370">
        <w:t>by</w:t>
      </w:r>
      <w:r w:rsidR="00F371F7" w:rsidRPr="00617370">
        <w:t xml:space="preserve"> the random effect allows for hierarchical or multi-level modelling to account for variability between clusters or groups</w:t>
      </w:r>
      <w:r w:rsidR="000746BE" w:rsidRPr="00617370">
        <w:t xml:space="preserve"> (</w:t>
      </w:r>
      <w:r w:rsidR="006D6989" w:rsidRPr="00617370">
        <w:t xml:space="preserve">for example, </w:t>
      </w:r>
      <w:r w:rsidR="000746BE" w:rsidRPr="00617370">
        <w:t>schools)</w:t>
      </w:r>
      <w:r w:rsidR="008647FD" w:rsidRPr="00617370">
        <w:t>,</w:t>
      </w:r>
      <w:r w:rsidR="000746BE" w:rsidRPr="00617370">
        <w:t xml:space="preserve"> while the fixed effects account for variability between individuals. In other words, the fixed effects represent the average relationships between variables across the entire population, while the random effects account for variability at the individual</w:t>
      </w:r>
      <w:r w:rsidR="00392ABB" w:rsidRPr="00617370">
        <w:t xml:space="preserve"> or </w:t>
      </w:r>
      <w:r w:rsidR="000746BE" w:rsidRPr="00617370">
        <w:t>group level that is not captured by the fixed effects. These individual/group-specific variations are often due to unmeasured or unobserved factors</w:t>
      </w:r>
      <w:r w:rsidR="00F8684F" w:rsidRPr="00617370">
        <w:t xml:space="preserve">, </w:t>
      </w:r>
      <w:r w:rsidR="00B40018" w:rsidRPr="00617370">
        <w:t>which</w:t>
      </w:r>
      <w:r w:rsidR="000746BE" w:rsidRPr="00617370">
        <w:t xml:space="preserve"> can influence the response variable.</w:t>
      </w:r>
    </w:p>
    <w:p w14:paraId="23A8B88B" w14:textId="68795E21" w:rsidR="00B3153A" w:rsidRPr="00617370" w:rsidRDefault="00B3153A" w:rsidP="00F371F7">
      <w:pPr>
        <w:pStyle w:val="Text"/>
      </w:pPr>
      <w:r w:rsidRPr="00617370">
        <w:t xml:space="preserve">To account for the variability and possible differences of students’ NAPLAN achievement scores between schools, we have included de-identified school </w:t>
      </w:r>
      <w:r w:rsidR="003E75CD" w:rsidRPr="00617370">
        <w:t>identifiers</w:t>
      </w:r>
      <w:r w:rsidRPr="00617370">
        <w:t xml:space="preserve"> as the random effect in our analysis</w:t>
      </w:r>
      <w:r w:rsidR="00B40018" w:rsidRPr="00617370">
        <w:t>.</w:t>
      </w:r>
      <w:r w:rsidR="007E4F53" w:rsidRPr="00617370">
        <w:rPr>
          <w:rStyle w:val="FootnoteReference"/>
        </w:rPr>
        <w:footnoteReference w:id="4"/>
      </w:r>
      <w:r w:rsidRPr="00617370">
        <w:t xml:space="preserve"> This gives us the hierarchical modelling structure that allows us to analyse according to the schools where respondents undertook their </w:t>
      </w:r>
      <w:r w:rsidR="00D23350" w:rsidRPr="00617370">
        <w:t>Year 9</w:t>
      </w:r>
      <w:r w:rsidRPr="00617370">
        <w:t xml:space="preserve"> NAPLAN assessments. </w:t>
      </w:r>
    </w:p>
    <w:p w14:paraId="70F404AB" w14:textId="2F3CA8BE" w:rsidR="00B71D20" w:rsidRPr="00617370" w:rsidRDefault="00B71D20" w:rsidP="00F371F7">
      <w:pPr>
        <w:pStyle w:val="Text"/>
        <w:rPr>
          <w:color w:val="F79646" w:themeColor="accent6"/>
        </w:rPr>
      </w:pPr>
      <w:r w:rsidRPr="00617370">
        <w:t>The mixed</w:t>
      </w:r>
      <w:r w:rsidR="00DF2297" w:rsidRPr="00617370">
        <w:t>-</w:t>
      </w:r>
      <w:r w:rsidRPr="00617370">
        <w:t xml:space="preserve">effect models </w:t>
      </w:r>
      <w:r w:rsidR="75784982" w:rsidRPr="00617370">
        <w:t>we</w:t>
      </w:r>
      <w:r w:rsidR="44FF37D9" w:rsidRPr="00617370">
        <w:t>re</w:t>
      </w:r>
      <w:r w:rsidRPr="00617370">
        <w:t xml:space="preserve"> performed in SAS using proc GLIMMIX and the procedure excludes any records with missing values in the outcome variable, random effect, or fixed effects.</w:t>
      </w:r>
    </w:p>
    <w:p w14:paraId="3E6E83ED" w14:textId="3FB6D66D" w:rsidR="00F371F7" w:rsidRPr="00617370" w:rsidRDefault="00F371F7" w:rsidP="00F371F7">
      <w:pPr>
        <w:pStyle w:val="Text"/>
      </w:pPr>
      <w:r w:rsidRPr="00617370">
        <w:t xml:space="preserve">In our study, we aim to identify </w:t>
      </w:r>
      <w:r w:rsidR="00DF2297" w:rsidRPr="00617370">
        <w:t>whether</w:t>
      </w:r>
      <w:r w:rsidRPr="00617370">
        <w:t xml:space="preserve"> NAPLAN achievement scores predict the likelihood of someone receiving an ATAR and </w:t>
      </w:r>
      <w:r w:rsidR="001D7269" w:rsidRPr="00617370">
        <w:t xml:space="preserve">whether </w:t>
      </w:r>
      <w:r w:rsidRPr="00617370">
        <w:t xml:space="preserve">it predicts the likelihood of someone achieving an ATAR of 90 and </w:t>
      </w:r>
      <w:r w:rsidR="00F80CE1" w:rsidRPr="00617370">
        <w:t>above, while</w:t>
      </w:r>
      <w:r w:rsidR="0088411B" w:rsidRPr="00617370">
        <w:t xml:space="preserve"> controlling for other socio-demographic factors</w:t>
      </w:r>
      <w:r w:rsidRPr="00617370">
        <w:t xml:space="preserve">. To better distinguish </w:t>
      </w:r>
      <w:r w:rsidR="000746BE" w:rsidRPr="00617370">
        <w:t>the effect of NAPLAN scores</w:t>
      </w:r>
      <w:r w:rsidRPr="00617370">
        <w:t xml:space="preserve"> on </w:t>
      </w:r>
      <w:r w:rsidR="0034132B" w:rsidRPr="00617370">
        <w:t>these</w:t>
      </w:r>
      <w:r w:rsidR="006C7232" w:rsidRPr="00617370">
        <w:t xml:space="preserve"> two</w:t>
      </w:r>
      <w:r w:rsidR="0034132B" w:rsidRPr="00617370">
        <w:t xml:space="preserve"> </w:t>
      </w:r>
      <w:r w:rsidRPr="00617370">
        <w:t>ATAR outcomes, we performed two separate mixed-effect analys</w:t>
      </w:r>
      <w:r w:rsidR="56FDC0EA" w:rsidRPr="00617370">
        <w:t>e</w:t>
      </w:r>
      <w:r w:rsidRPr="00617370">
        <w:t>s</w:t>
      </w:r>
      <w:r w:rsidR="004B7C98" w:rsidRPr="00617370">
        <w:t>,</w:t>
      </w:r>
      <w:r w:rsidRPr="00617370">
        <w:t xml:space="preserve"> with both models having the same random and fixed effects, the only difference being the outcome variable </w:t>
      </w:r>
      <w:r w:rsidR="001D7269" w:rsidRPr="00617370">
        <w:t>—</w:t>
      </w:r>
      <w:r w:rsidRPr="00617370">
        <w:t xml:space="preserve"> one predicting ATAR recipients and the other ATAR high achievers.  </w:t>
      </w:r>
    </w:p>
    <w:p w14:paraId="30C7EF18" w14:textId="0200F503" w:rsidR="00F371F7" w:rsidRPr="00617370" w:rsidRDefault="001D7269" w:rsidP="00F371F7">
      <w:pPr>
        <w:pStyle w:val="Text"/>
      </w:pPr>
      <w:r w:rsidRPr="00617370">
        <w:t>O</w:t>
      </w:r>
      <w:r w:rsidR="00F371F7" w:rsidRPr="00617370">
        <w:t>ur mixed</w:t>
      </w:r>
      <w:r w:rsidR="00FB226D" w:rsidRPr="00617370">
        <w:t>-</w:t>
      </w:r>
      <w:r w:rsidR="00F371F7" w:rsidRPr="00617370">
        <w:t xml:space="preserve">effect models </w:t>
      </w:r>
      <w:r w:rsidR="4B9C8911" w:rsidRPr="00617370">
        <w:t>we</w:t>
      </w:r>
      <w:r w:rsidR="00F371F7" w:rsidRPr="00617370">
        <w:t>re structured as follow</w:t>
      </w:r>
      <w:r w:rsidRPr="00617370">
        <w:t>s</w:t>
      </w:r>
      <w:r w:rsidR="00F371F7" w:rsidRPr="00617370">
        <w:t>:</w:t>
      </w:r>
    </w:p>
    <w:p w14:paraId="012C36F3" w14:textId="3F952B0F" w:rsidR="00F371F7" w:rsidRPr="00617370" w:rsidRDefault="00F371F7" w:rsidP="001D7269">
      <w:pPr>
        <w:pStyle w:val="Dotpoint1"/>
        <w:rPr>
          <w:b/>
        </w:rPr>
      </w:pPr>
      <w:r w:rsidRPr="00617370">
        <w:rPr>
          <w:b/>
        </w:rPr>
        <w:t>Model 1</w:t>
      </w:r>
      <w:r w:rsidR="00F80CE1" w:rsidRPr="00617370">
        <w:rPr>
          <w:b/>
        </w:rPr>
        <w:t>: ATAR recipients</w:t>
      </w:r>
    </w:p>
    <w:p w14:paraId="1844C9D8" w14:textId="449CF8A7" w:rsidR="00F371F7" w:rsidRPr="00617370" w:rsidRDefault="00F371F7" w:rsidP="001D7269">
      <w:pPr>
        <w:pStyle w:val="Dotpoint2"/>
        <w:rPr>
          <w:bCs/>
          <w:color w:val="auto"/>
        </w:rPr>
      </w:pPr>
      <w:r w:rsidRPr="00617370">
        <w:rPr>
          <w:bCs/>
        </w:rPr>
        <w:t xml:space="preserve">Outcome variable: </w:t>
      </w:r>
      <w:r w:rsidR="00444483" w:rsidRPr="00617370">
        <w:rPr>
          <w:bCs/>
          <w:color w:val="auto"/>
        </w:rPr>
        <w:t>Received an ATAR</w:t>
      </w:r>
    </w:p>
    <w:p w14:paraId="2200147A" w14:textId="3206AA3A" w:rsidR="00F371F7" w:rsidRPr="00617370" w:rsidRDefault="00F371F7" w:rsidP="001D7269">
      <w:pPr>
        <w:pStyle w:val="Dotpoint2"/>
        <w:rPr>
          <w:bCs/>
          <w:color w:val="auto"/>
        </w:rPr>
      </w:pPr>
      <w:r w:rsidRPr="00617370">
        <w:rPr>
          <w:bCs/>
          <w:color w:val="auto"/>
        </w:rPr>
        <w:t>Random effect: School</w:t>
      </w:r>
    </w:p>
    <w:p w14:paraId="781E435A" w14:textId="70517A7D" w:rsidR="00F371F7" w:rsidRPr="00617370" w:rsidRDefault="00F371F7" w:rsidP="001D7269">
      <w:pPr>
        <w:pStyle w:val="Dotpoint2"/>
        <w:rPr>
          <w:bCs/>
          <w:color w:val="auto"/>
        </w:rPr>
      </w:pPr>
      <w:r w:rsidRPr="00617370">
        <w:rPr>
          <w:bCs/>
          <w:color w:val="auto"/>
        </w:rPr>
        <w:t xml:space="preserve">Fixed effects: </w:t>
      </w:r>
      <w:r w:rsidR="00D23350" w:rsidRPr="00617370">
        <w:rPr>
          <w:bCs/>
          <w:color w:val="auto"/>
        </w:rPr>
        <w:t>Year 9</w:t>
      </w:r>
      <w:r w:rsidRPr="00617370">
        <w:rPr>
          <w:bCs/>
          <w:color w:val="auto"/>
        </w:rPr>
        <w:t xml:space="preserve"> NAPLAN achievement scores, gender, Indigenous status, language spoken at home, SES, and the interaction </w:t>
      </w:r>
      <w:r w:rsidR="00170745" w:rsidRPr="00617370">
        <w:rPr>
          <w:bCs/>
          <w:color w:val="auto"/>
        </w:rPr>
        <w:t>between</w:t>
      </w:r>
      <w:r w:rsidRPr="00617370">
        <w:rPr>
          <w:bCs/>
          <w:color w:val="auto"/>
        </w:rPr>
        <w:t xml:space="preserve"> NAPLAN achievement scores </w:t>
      </w:r>
      <w:r w:rsidR="00170745" w:rsidRPr="00617370">
        <w:rPr>
          <w:bCs/>
          <w:color w:val="auto"/>
        </w:rPr>
        <w:t>and</w:t>
      </w:r>
      <w:r w:rsidRPr="00617370">
        <w:rPr>
          <w:bCs/>
          <w:color w:val="auto"/>
        </w:rPr>
        <w:t xml:space="preserve"> SES. </w:t>
      </w:r>
    </w:p>
    <w:p w14:paraId="3C0AD0A4" w14:textId="08C26FC5" w:rsidR="00F371F7" w:rsidRPr="00617370" w:rsidRDefault="00F371F7" w:rsidP="001D7269">
      <w:pPr>
        <w:pStyle w:val="Dotpoint1"/>
        <w:rPr>
          <w:b/>
          <w:color w:val="auto"/>
        </w:rPr>
      </w:pPr>
      <w:r w:rsidRPr="00617370">
        <w:rPr>
          <w:b/>
          <w:color w:val="auto"/>
        </w:rPr>
        <w:t>Model 2</w:t>
      </w:r>
      <w:r w:rsidR="00F80CE1" w:rsidRPr="00617370">
        <w:rPr>
          <w:b/>
          <w:color w:val="auto"/>
        </w:rPr>
        <w:t>: ATAR high achievers</w:t>
      </w:r>
    </w:p>
    <w:p w14:paraId="05F2E5E5" w14:textId="11CE41C9" w:rsidR="00F371F7" w:rsidRPr="00617370" w:rsidRDefault="00F371F7" w:rsidP="001D7269">
      <w:pPr>
        <w:pStyle w:val="Dotpoint2"/>
        <w:rPr>
          <w:color w:val="auto"/>
        </w:rPr>
      </w:pPr>
      <w:r w:rsidRPr="00617370">
        <w:rPr>
          <w:color w:val="auto"/>
        </w:rPr>
        <w:t xml:space="preserve">Outcome variable: </w:t>
      </w:r>
      <w:r w:rsidR="005842BC" w:rsidRPr="00617370">
        <w:rPr>
          <w:color w:val="auto"/>
        </w:rPr>
        <w:t xml:space="preserve">Received an ATAR of 90 </w:t>
      </w:r>
      <w:r w:rsidR="006E595C" w:rsidRPr="00617370">
        <w:rPr>
          <w:color w:val="auto"/>
        </w:rPr>
        <w:t>or</w:t>
      </w:r>
      <w:r w:rsidR="005842BC" w:rsidRPr="00617370">
        <w:rPr>
          <w:color w:val="auto"/>
        </w:rPr>
        <w:t xml:space="preserve"> above</w:t>
      </w:r>
    </w:p>
    <w:p w14:paraId="526A2C27" w14:textId="1443F2C3" w:rsidR="00F371F7" w:rsidRPr="00617370" w:rsidRDefault="00F371F7" w:rsidP="001D7269">
      <w:pPr>
        <w:pStyle w:val="Dotpoint2"/>
      </w:pPr>
      <w:r w:rsidRPr="00617370">
        <w:t>Random effect: School</w:t>
      </w:r>
    </w:p>
    <w:p w14:paraId="4E2CA337" w14:textId="3FF47C9E" w:rsidR="00F371F7" w:rsidRPr="00617370" w:rsidRDefault="00F371F7" w:rsidP="001D7269">
      <w:pPr>
        <w:pStyle w:val="Dotpoint2"/>
        <w:rPr>
          <w:color w:val="auto"/>
        </w:rPr>
      </w:pPr>
      <w:r w:rsidRPr="00617370">
        <w:t xml:space="preserve">Fixed effects: </w:t>
      </w:r>
      <w:r w:rsidR="00D23350" w:rsidRPr="00617370">
        <w:t>Year 9</w:t>
      </w:r>
      <w:r w:rsidRPr="00617370">
        <w:t xml:space="preserve"> </w:t>
      </w:r>
      <w:r w:rsidRPr="00617370">
        <w:rPr>
          <w:color w:val="auto"/>
        </w:rPr>
        <w:t xml:space="preserve">NAPLAN achievement scores, gender, Indigenous status, language spoken at home, SES, and the interaction </w:t>
      </w:r>
      <w:r w:rsidR="00170745" w:rsidRPr="00617370">
        <w:rPr>
          <w:color w:val="auto"/>
        </w:rPr>
        <w:t>between</w:t>
      </w:r>
      <w:r w:rsidRPr="00617370">
        <w:rPr>
          <w:color w:val="auto"/>
        </w:rPr>
        <w:t xml:space="preserve"> NAPLAN achievement scores </w:t>
      </w:r>
      <w:r w:rsidR="00170745" w:rsidRPr="00617370">
        <w:rPr>
          <w:color w:val="auto"/>
        </w:rPr>
        <w:t>and</w:t>
      </w:r>
      <w:r w:rsidRPr="00617370">
        <w:rPr>
          <w:color w:val="auto"/>
        </w:rPr>
        <w:t xml:space="preserve"> SES. </w:t>
      </w:r>
    </w:p>
    <w:p w14:paraId="3D5FD34F" w14:textId="487C36CE" w:rsidR="000E26BA" w:rsidRPr="00617370" w:rsidRDefault="000E26BA" w:rsidP="000E26BA">
      <w:pPr>
        <w:pStyle w:val="Text"/>
      </w:pPr>
      <w:r w:rsidRPr="00617370">
        <w:t xml:space="preserve">The models include the interaction between </w:t>
      </w:r>
      <w:r w:rsidR="00127084" w:rsidRPr="00617370">
        <w:t>socioeconomic status</w:t>
      </w:r>
      <w:r w:rsidRPr="00617370">
        <w:t xml:space="preserve"> and NAPLAN achievement to investigate the combined effect of these two variables on ATAR outcomes. A significant interaction would imply that </w:t>
      </w:r>
      <w:r w:rsidR="00F80CE1" w:rsidRPr="00617370">
        <w:t>the impact of a student</w:t>
      </w:r>
      <w:r w:rsidR="00AE53DB" w:rsidRPr="00617370">
        <w:t>’</w:t>
      </w:r>
      <w:r w:rsidR="00F80CE1" w:rsidRPr="00617370">
        <w:t xml:space="preserve">s academic achievement differs </w:t>
      </w:r>
      <w:r w:rsidR="00127084" w:rsidRPr="00617370">
        <w:t>according</w:t>
      </w:r>
      <w:r w:rsidR="00F80CE1" w:rsidRPr="00617370">
        <w:t xml:space="preserve"> </w:t>
      </w:r>
      <w:r w:rsidR="008A145C" w:rsidRPr="00617370">
        <w:t>to</w:t>
      </w:r>
      <w:r w:rsidR="00F80CE1" w:rsidRPr="00617370">
        <w:t xml:space="preserve"> their socioeconomic status</w:t>
      </w:r>
      <w:r w:rsidRPr="00617370">
        <w:t xml:space="preserve">. For example, </w:t>
      </w:r>
      <w:r w:rsidR="00DB2036" w:rsidRPr="00617370">
        <w:t>having a high</w:t>
      </w:r>
      <w:r w:rsidR="008A2B58" w:rsidRPr="00617370">
        <w:t>er</w:t>
      </w:r>
      <w:r w:rsidR="00DB2036" w:rsidRPr="00617370">
        <w:t xml:space="preserve"> NAPLAN achievement score would have a different effect on a student from a low socioeconomic status </w:t>
      </w:r>
      <w:r w:rsidR="004E08BA" w:rsidRPr="00617370">
        <w:t>than</w:t>
      </w:r>
      <w:r w:rsidR="00DB2036" w:rsidRPr="00617370">
        <w:t xml:space="preserve"> </w:t>
      </w:r>
      <w:r w:rsidR="00392ABB" w:rsidRPr="00617370">
        <w:t xml:space="preserve">it would on </w:t>
      </w:r>
      <w:r w:rsidR="00DB2036" w:rsidRPr="00617370">
        <w:t xml:space="preserve">a student with a high socioeconomic status. </w:t>
      </w:r>
    </w:p>
    <w:p w14:paraId="14068988" w14:textId="18B03143" w:rsidR="000746BE" w:rsidRPr="00617370" w:rsidRDefault="000746BE" w:rsidP="000746BE">
      <w:pPr>
        <w:pStyle w:val="Text"/>
      </w:pPr>
      <w:r w:rsidRPr="00617370">
        <w:lastRenderedPageBreak/>
        <w:t>While the linked NAPLAN data provide NAPLAN achievement scores across all four year levels (</w:t>
      </w:r>
      <w:r w:rsidR="009F69EC" w:rsidRPr="00617370">
        <w:t>Y</w:t>
      </w:r>
      <w:r w:rsidRPr="00617370">
        <w:t>ear</w:t>
      </w:r>
      <w:r w:rsidR="0035458A" w:rsidRPr="00617370">
        <w:t>s</w:t>
      </w:r>
      <w:r w:rsidRPr="00617370">
        <w:t xml:space="preserve"> 3, 5, 7, and 9), the number of linked records differs across </w:t>
      </w:r>
      <w:r w:rsidR="0035458A" w:rsidRPr="00617370">
        <w:t>each</w:t>
      </w:r>
      <w:r w:rsidRPr="00617370">
        <w:t xml:space="preserve"> year level. </w:t>
      </w:r>
      <w:r w:rsidR="0035458A" w:rsidRPr="00617370">
        <w:t>Furthermore, h</w:t>
      </w:r>
      <w:r w:rsidRPr="00617370">
        <w:t>igh correlation exists between the assessed NAPLAN year levels across all domains</w:t>
      </w:r>
      <w:r w:rsidR="009F69EC" w:rsidRPr="00617370">
        <w:t>,</w:t>
      </w:r>
      <w:r w:rsidR="00A72B30" w:rsidRPr="00617370">
        <w:t xml:space="preserve"> with studies </w:t>
      </w:r>
      <w:r w:rsidR="00B82B88" w:rsidRPr="00617370">
        <w:t>indicating</w:t>
      </w:r>
      <w:r w:rsidR="00A72B30" w:rsidRPr="00617370">
        <w:t xml:space="preserve"> that</w:t>
      </w:r>
      <w:r w:rsidRPr="00617370">
        <w:t xml:space="preserve"> early NAPLAN scores are reliable predictors of subsequent NAPLAN performance (Houng </w:t>
      </w:r>
      <w:r w:rsidR="0054611A" w:rsidRPr="00617370">
        <w:t>&amp;</w:t>
      </w:r>
      <w:r w:rsidRPr="00617370">
        <w:t xml:space="preserve"> Justman</w:t>
      </w:r>
      <w:r w:rsidR="00B71CD2" w:rsidRPr="00617370">
        <w:t xml:space="preserve"> 2014</w:t>
      </w:r>
      <w:r w:rsidRPr="00617370">
        <w:t>). Including highly correlated predictors in regression model</w:t>
      </w:r>
      <w:r w:rsidR="0035458A" w:rsidRPr="00617370">
        <w:t>s</w:t>
      </w:r>
      <w:r w:rsidRPr="00617370">
        <w:t xml:space="preserve"> introduce</w:t>
      </w:r>
      <w:r w:rsidR="6160B894" w:rsidRPr="00617370">
        <w:t>s</w:t>
      </w:r>
      <w:r w:rsidRPr="00617370">
        <w:t xml:space="preserve"> the issue of multicollinearity</w:t>
      </w:r>
      <w:r w:rsidR="0054611A" w:rsidRPr="00617370">
        <w:t>,</w:t>
      </w:r>
      <w:r w:rsidRPr="00617370">
        <w:t xml:space="preserve"> as the increase in the NAPLAN score of one year level will very likely relate to an increase in the NAPLAN score of the other year levels. </w:t>
      </w:r>
      <w:r w:rsidR="0035458A" w:rsidRPr="00617370">
        <w:t>T</w:t>
      </w:r>
      <w:r w:rsidRPr="00617370">
        <w:t xml:space="preserve">he presence of multicollinearity disrupts the effect of </w:t>
      </w:r>
      <w:r w:rsidR="009C2817" w:rsidRPr="00617370">
        <w:t xml:space="preserve">the </w:t>
      </w:r>
      <w:r w:rsidRPr="00617370">
        <w:t xml:space="preserve">individual predictor on the outcome variable, causing difficulty </w:t>
      </w:r>
      <w:r w:rsidR="0035458A" w:rsidRPr="00617370">
        <w:t xml:space="preserve">in </w:t>
      </w:r>
      <w:r w:rsidRPr="00617370">
        <w:t>distinguish</w:t>
      </w:r>
      <w:r w:rsidR="0035458A" w:rsidRPr="00617370">
        <w:t>ing</w:t>
      </w:r>
      <w:r w:rsidRPr="00617370">
        <w:t xml:space="preserve"> the impact that each predictor has in the model. </w:t>
      </w:r>
    </w:p>
    <w:p w14:paraId="714CFCEC" w14:textId="66589964" w:rsidR="00612E7E" w:rsidRPr="00617370" w:rsidRDefault="00DA1C81" w:rsidP="00F371F7">
      <w:pPr>
        <w:pStyle w:val="Text"/>
      </w:pPr>
      <w:r w:rsidRPr="00617370">
        <w:t>T</w:t>
      </w:r>
      <w:r w:rsidR="009C2817" w:rsidRPr="00617370">
        <w:t xml:space="preserve">he </w:t>
      </w:r>
      <w:r w:rsidR="000746BE" w:rsidRPr="00617370">
        <w:t>differen</w:t>
      </w:r>
      <w:r w:rsidR="009C2817" w:rsidRPr="00617370">
        <w:t>t</w:t>
      </w:r>
      <w:r w:rsidR="000746BE" w:rsidRPr="00617370">
        <w:t xml:space="preserve"> sample sizes</w:t>
      </w:r>
      <w:r w:rsidR="009C2817" w:rsidRPr="00617370">
        <w:t xml:space="preserve"> (</w:t>
      </w:r>
      <w:r w:rsidR="00363454" w:rsidRPr="00617370">
        <w:t>that is,</w:t>
      </w:r>
      <w:r w:rsidR="009C2817" w:rsidRPr="00617370">
        <w:t xml:space="preserve"> number of </w:t>
      </w:r>
      <w:r w:rsidR="000746BE" w:rsidRPr="00617370">
        <w:t xml:space="preserve">linked </w:t>
      </w:r>
      <w:r w:rsidR="005842BC" w:rsidRPr="00617370">
        <w:t xml:space="preserve">NAPLAN </w:t>
      </w:r>
      <w:r w:rsidR="000746BE" w:rsidRPr="00617370">
        <w:t>records</w:t>
      </w:r>
      <w:r w:rsidR="009C2817" w:rsidRPr="00617370">
        <w:t>)</w:t>
      </w:r>
      <w:r w:rsidR="000746BE" w:rsidRPr="00617370">
        <w:t xml:space="preserve"> </w:t>
      </w:r>
      <w:r w:rsidR="009C2817" w:rsidRPr="00617370">
        <w:t xml:space="preserve">across each year level </w:t>
      </w:r>
      <w:r w:rsidRPr="00617370">
        <w:t xml:space="preserve">also </w:t>
      </w:r>
      <w:r w:rsidR="000746BE" w:rsidRPr="00617370">
        <w:t>pose a challenge</w:t>
      </w:r>
      <w:r w:rsidR="005842BC" w:rsidRPr="00617370">
        <w:t>. This is because s</w:t>
      </w:r>
      <w:r w:rsidR="000746BE" w:rsidRPr="00617370">
        <w:t>tandardised coefficients of the mixed</w:t>
      </w:r>
      <w:r w:rsidR="00363454" w:rsidRPr="00617370">
        <w:t>-</w:t>
      </w:r>
      <w:r w:rsidR="000746BE" w:rsidRPr="00617370">
        <w:t>effect models cannot be compare</w:t>
      </w:r>
      <w:r w:rsidR="009C2817" w:rsidRPr="00617370">
        <w:t>d</w:t>
      </w:r>
      <w:r w:rsidR="000746BE" w:rsidRPr="00617370">
        <w:t xml:space="preserve"> across the year levels due to the difference in </w:t>
      </w:r>
      <w:r w:rsidR="00D956E9" w:rsidRPr="00617370">
        <w:t xml:space="preserve">the </w:t>
      </w:r>
      <w:r w:rsidR="000746BE" w:rsidRPr="00617370">
        <w:t xml:space="preserve">sample deviation calculation </w:t>
      </w:r>
      <w:r w:rsidR="007350E5" w:rsidRPr="00617370">
        <w:t xml:space="preserve">arising </w:t>
      </w:r>
      <w:r w:rsidR="000746BE" w:rsidRPr="00617370">
        <w:t>from the different sample sizes.</w:t>
      </w:r>
      <w:r w:rsidR="00612E7E" w:rsidRPr="00617370">
        <w:t xml:space="preserve"> </w:t>
      </w:r>
      <w:r w:rsidR="5E213D82" w:rsidRPr="00617370">
        <w:t>Therefore,</w:t>
      </w:r>
      <w:r w:rsidR="00A0315A" w:rsidRPr="00617370">
        <w:t xml:space="preserve"> a single year level </w:t>
      </w:r>
      <w:r w:rsidR="00612E7E" w:rsidRPr="00617370">
        <w:t xml:space="preserve">is more suitable for inclusion </w:t>
      </w:r>
      <w:r w:rsidR="00A0315A" w:rsidRPr="00617370">
        <w:t>in our model</w:t>
      </w:r>
      <w:r w:rsidR="004467C9" w:rsidRPr="00617370">
        <w:t xml:space="preserve">. </w:t>
      </w:r>
    </w:p>
    <w:p w14:paraId="580DD52B" w14:textId="45D55FC5" w:rsidR="000746BE" w:rsidRPr="00617370" w:rsidRDefault="004467C9" w:rsidP="00F371F7">
      <w:pPr>
        <w:pStyle w:val="Text"/>
      </w:pPr>
      <w:r w:rsidRPr="00617370">
        <w:t>T</w:t>
      </w:r>
      <w:r w:rsidR="5E213D82" w:rsidRPr="00617370">
        <w:t>he choice of year level comes down to a combination of findings from</w:t>
      </w:r>
      <w:r w:rsidR="64DC64C5" w:rsidRPr="00617370">
        <w:t xml:space="preserve"> the</w:t>
      </w:r>
      <w:r w:rsidR="5E213D82" w:rsidRPr="00617370">
        <w:t xml:space="preserve"> literature and information based on the linked data itself. Year 9 achievement scores have been shown to be a strong predictor of tertiary entrance performance (</w:t>
      </w:r>
      <w:r w:rsidR="017956E4" w:rsidRPr="00617370">
        <w:t xml:space="preserve">Houng &amp; Justman 2014; </w:t>
      </w:r>
      <w:r w:rsidR="5E213D82" w:rsidRPr="00617370">
        <w:t xml:space="preserve">Marks, </w:t>
      </w:r>
      <w:r w:rsidR="017956E4" w:rsidRPr="00617370">
        <w:t>McMillan</w:t>
      </w:r>
      <w:r w:rsidR="5E213D82" w:rsidRPr="00617370">
        <w:t xml:space="preserve"> &amp; Hillman 2001). Our data also indicate that </w:t>
      </w:r>
      <w:r w:rsidR="00D23350" w:rsidRPr="00617370">
        <w:t>Year 9</w:t>
      </w:r>
      <w:r w:rsidR="5E213D82" w:rsidRPr="00617370">
        <w:t xml:space="preserve"> achievement scores have the highest correlation with both ATAR outcomes (</w:t>
      </w:r>
      <w:r w:rsidR="005A0BAF" w:rsidRPr="00617370">
        <w:t>see</w:t>
      </w:r>
      <w:r w:rsidR="5E213D82" w:rsidRPr="00617370">
        <w:t xml:space="preserve"> appendix</w:t>
      </w:r>
      <w:r w:rsidR="005A0BAF" w:rsidRPr="00617370">
        <w:t>, table A1).</w:t>
      </w:r>
      <w:r w:rsidR="5E213D82" w:rsidRPr="00617370">
        <w:t xml:space="preserve"> In addition</w:t>
      </w:r>
      <w:r w:rsidR="19065E77" w:rsidRPr="00617370">
        <w:t>,</w:t>
      </w:r>
      <w:r w:rsidR="5E213D82" w:rsidRPr="00617370">
        <w:t xml:space="preserve"> we have the largest number of linked records available in </w:t>
      </w:r>
      <w:r w:rsidR="00D23350" w:rsidRPr="00617370">
        <w:t>Year 9</w:t>
      </w:r>
      <w:r w:rsidR="5E213D82" w:rsidRPr="00617370">
        <w:t xml:space="preserve"> (n</w:t>
      </w:r>
      <w:r w:rsidR="003B2792" w:rsidRPr="00617370">
        <w:t xml:space="preserve"> </w:t>
      </w:r>
      <w:r w:rsidR="5E213D82" w:rsidRPr="00617370">
        <w:t>=</w:t>
      </w:r>
      <w:r w:rsidR="003B2792" w:rsidRPr="00617370">
        <w:t xml:space="preserve"> </w:t>
      </w:r>
      <w:r w:rsidR="00C945C9" w:rsidRPr="00617370">
        <w:t>4</w:t>
      </w:r>
      <w:r w:rsidR="5E213D82" w:rsidRPr="00617370">
        <w:t xml:space="preserve">865) </w:t>
      </w:r>
      <w:r w:rsidR="64DC64C5" w:rsidRPr="00617370">
        <w:t xml:space="preserve">across </w:t>
      </w:r>
      <w:r w:rsidR="5E213D82" w:rsidRPr="00617370">
        <w:t xml:space="preserve">all the year levels. The combination of these factors </w:t>
      </w:r>
      <w:r w:rsidR="64DC64C5" w:rsidRPr="00617370">
        <w:t xml:space="preserve">led </w:t>
      </w:r>
      <w:r w:rsidR="5E213D82" w:rsidRPr="00617370">
        <w:t xml:space="preserve">us to choose </w:t>
      </w:r>
      <w:r w:rsidR="00D23350" w:rsidRPr="00617370">
        <w:t>Year 9</w:t>
      </w:r>
      <w:r w:rsidR="5E213D82" w:rsidRPr="00617370">
        <w:t xml:space="preserve"> NAPLAN achievement scores in this study. </w:t>
      </w:r>
    </w:p>
    <w:p w14:paraId="3AA573F1" w14:textId="12892E54" w:rsidR="00B3153A" w:rsidRPr="00617370" w:rsidRDefault="7FAA2322" w:rsidP="3E71FE18">
      <w:pPr>
        <w:pStyle w:val="Text"/>
      </w:pPr>
      <w:r w:rsidRPr="00617370">
        <w:t xml:space="preserve">The two NAPLAN achievement scores that exhibited the highest correlation with ATAR </w:t>
      </w:r>
      <w:r w:rsidR="5AF17710" w:rsidRPr="00617370">
        <w:t>we</w:t>
      </w:r>
      <w:r w:rsidRPr="00617370">
        <w:t>re the numeracy and reading domains (</w:t>
      </w:r>
      <w:r w:rsidR="00E50CCA" w:rsidRPr="00617370">
        <w:t xml:space="preserve">table A2 in the </w:t>
      </w:r>
      <w:r w:rsidR="00A233A4" w:rsidRPr="00617370">
        <w:t>appendix</w:t>
      </w:r>
      <w:r w:rsidRPr="00617370">
        <w:t xml:space="preserve">). </w:t>
      </w:r>
      <w:r w:rsidR="3CFA7F6F" w:rsidRPr="00617370">
        <w:t>We also observed from the Year 9 achievement scores that</w:t>
      </w:r>
      <w:r w:rsidR="64DC64C5" w:rsidRPr="00617370">
        <w:t xml:space="preserve"> </w:t>
      </w:r>
      <w:r w:rsidR="792EF6FC" w:rsidRPr="00617370">
        <w:t>a strong</w:t>
      </w:r>
      <w:r w:rsidRPr="00617370">
        <w:t xml:space="preserve"> correlation exists between the reading and numeracy domains</w:t>
      </w:r>
      <w:r w:rsidR="00BB21AC" w:rsidRPr="00617370">
        <w:t xml:space="preserve">, </w:t>
      </w:r>
      <w:r w:rsidR="2BC97AAD" w:rsidRPr="00617370">
        <w:t>r</w:t>
      </w:r>
      <w:r w:rsidR="00BB21AC" w:rsidRPr="00617370">
        <w:t xml:space="preserve"> </w:t>
      </w:r>
      <w:r w:rsidR="2BC97AAD" w:rsidRPr="00617370">
        <w:t>=</w:t>
      </w:r>
      <w:r w:rsidRPr="00617370">
        <w:t xml:space="preserve"> 0.68 </w:t>
      </w:r>
      <w:r w:rsidR="2BC97AAD" w:rsidRPr="00617370">
        <w:t>(</w:t>
      </w:r>
      <w:r w:rsidR="00BB21AC" w:rsidRPr="00617370">
        <w:t>table A3</w:t>
      </w:r>
      <w:r w:rsidR="2BC97AAD" w:rsidRPr="00617370">
        <w:t>)</w:t>
      </w:r>
      <w:r w:rsidRPr="00617370">
        <w:t xml:space="preserve">. </w:t>
      </w:r>
      <w:r w:rsidR="3CFA7F6F" w:rsidRPr="00617370">
        <w:t xml:space="preserve">As </w:t>
      </w:r>
      <w:r w:rsidR="00DF0530" w:rsidRPr="00617370">
        <w:t>noted</w:t>
      </w:r>
      <w:r w:rsidR="3CFA7F6F" w:rsidRPr="00617370">
        <w:t xml:space="preserve"> above, multiple predictors with high correlation present collinearity issue</w:t>
      </w:r>
      <w:r w:rsidR="1C31EB2A" w:rsidRPr="00617370">
        <w:t>s</w:t>
      </w:r>
      <w:r w:rsidR="3CFA7F6F" w:rsidRPr="00617370">
        <w:t xml:space="preserve"> with regression models</w:t>
      </w:r>
      <w:r w:rsidR="3CFA7F6F" w:rsidRPr="00617370">
        <w:rPr>
          <w:color w:val="F79546"/>
        </w:rPr>
        <w:t xml:space="preserve">. </w:t>
      </w:r>
      <w:r w:rsidR="0EE5FB18" w:rsidRPr="00617370">
        <w:t>Therefore</w:t>
      </w:r>
      <w:r w:rsidRPr="00617370">
        <w:t>, to account for the effect of both domains in the model</w:t>
      </w:r>
      <w:r w:rsidR="00DF0530" w:rsidRPr="00617370">
        <w:t>,</w:t>
      </w:r>
      <w:r w:rsidR="792EF6FC" w:rsidRPr="00617370">
        <w:t xml:space="preserve"> </w:t>
      </w:r>
      <w:r w:rsidRPr="00617370">
        <w:t xml:space="preserve">we combined and summed the reading and numeracy scores into a single predictor. If either the reading or numeracy scores </w:t>
      </w:r>
      <w:r w:rsidR="7901EC6C" w:rsidRPr="00617370">
        <w:t>we</w:t>
      </w:r>
      <w:r w:rsidRPr="00617370">
        <w:t xml:space="preserve">re not available, </w:t>
      </w:r>
      <w:r w:rsidR="203A0EF2" w:rsidRPr="00617370">
        <w:t>they were</w:t>
      </w:r>
      <w:r w:rsidR="2AA4A4F1" w:rsidRPr="00617370">
        <w:t xml:space="preserve"> </w:t>
      </w:r>
      <w:r w:rsidRPr="00617370">
        <w:t xml:space="preserve">not included in the analysis. </w:t>
      </w:r>
    </w:p>
    <w:p w14:paraId="6DB71470" w14:textId="4B2A83F6" w:rsidR="00F371F7" w:rsidRPr="00617370" w:rsidRDefault="00F371F7" w:rsidP="00F371F7">
      <w:pPr>
        <w:pStyle w:val="Text"/>
      </w:pPr>
      <w:r w:rsidRPr="00617370">
        <w:br w:type="page"/>
      </w:r>
    </w:p>
    <w:p w14:paraId="23980733" w14:textId="7D4CA5DE" w:rsidR="00F371F7" w:rsidRPr="00617370" w:rsidRDefault="005D533E" w:rsidP="00F371F7">
      <w:pPr>
        <w:pStyle w:val="Heading1"/>
      </w:pPr>
      <w:bookmarkStart w:id="48" w:name="_Toc166511941"/>
      <w:r w:rsidRPr="00617370">
        <w:rPr>
          <w:noProof/>
        </w:rPr>
        <w:lastRenderedPageBreak/>
        <w:drawing>
          <wp:anchor distT="0" distB="0" distL="114300" distR="114935" simplePos="0" relativeHeight="251669516" behindDoc="0" locked="0" layoutInCell="1" allowOverlap="1" wp14:anchorId="19E51A88" wp14:editId="25F09876">
            <wp:simplePos x="0" y="0"/>
            <wp:positionH relativeFrom="column">
              <wp:posOffset>-635</wp:posOffset>
            </wp:positionH>
            <wp:positionV relativeFrom="paragraph">
              <wp:posOffset>0</wp:posOffset>
            </wp:positionV>
            <wp:extent cx="417600" cy="417600"/>
            <wp:effectExtent l="0" t="0" r="1905" b="1905"/>
            <wp:wrapSquare wrapText="bothSides"/>
            <wp:docPr id="17570368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1F7" w:rsidRPr="00617370">
        <w:t>Results</w:t>
      </w:r>
      <w:bookmarkEnd w:id="48"/>
      <w:r w:rsidR="00F371F7" w:rsidRPr="00617370">
        <w:t xml:space="preserve"> </w:t>
      </w:r>
    </w:p>
    <w:p w14:paraId="1A58E268" w14:textId="3B28D593" w:rsidR="00F371F7" w:rsidRPr="00617370" w:rsidRDefault="009E71C8" w:rsidP="00D13B86">
      <w:pPr>
        <w:pStyle w:val="Text"/>
      </w:pPr>
      <w:r w:rsidRPr="00617370">
        <w:t xml:space="preserve">This section presents </w:t>
      </w:r>
      <w:r w:rsidR="009A7B3D" w:rsidRPr="00617370">
        <w:t xml:space="preserve">the </w:t>
      </w:r>
      <w:r w:rsidR="009C44E2" w:rsidRPr="00617370">
        <w:t>r</w:t>
      </w:r>
      <w:r w:rsidR="00D9062E" w:rsidRPr="00617370">
        <w:t xml:space="preserve">esults </w:t>
      </w:r>
      <w:r w:rsidR="00AA2205" w:rsidRPr="00617370">
        <w:t xml:space="preserve">from the mixed-effect </w:t>
      </w:r>
      <w:r w:rsidR="00BC7F9D" w:rsidRPr="00617370">
        <w:t xml:space="preserve">models, modelling </w:t>
      </w:r>
      <w:r w:rsidR="001B184B" w:rsidRPr="00617370">
        <w:t>those who received an ATAR (ATAR recipients) and those who received an ATAR of 90 and above (ATAR high achievers) on</w:t>
      </w:r>
      <w:r w:rsidR="00BC7F9D" w:rsidRPr="00617370">
        <w:t xml:space="preserve"> NAPLAN achievement scores and respondents’ socio-demographics</w:t>
      </w:r>
      <w:r w:rsidR="0025372E" w:rsidRPr="00617370">
        <w:t xml:space="preserve">. </w:t>
      </w:r>
      <w:r w:rsidR="6E6F29CE" w:rsidRPr="00617370">
        <w:t xml:space="preserve">Table </w:t>
      </w:r>
      <w:r w:rsidR="00906194" w:rsidRPr="00617370">
        <w:t>3</w:t>
      </w:r>
      <w:r w:rsidR="6E6F29CE" w:rsidRPr="00617370">
        <w:t xml:space="preserve"> shows the variables that </w:t>
      </w:r>
      <w:r w:rsidR="24B97AFC" w:rsidRPr="00617370">
        <w:t>we</w:t>
      </w:r>
      <w:r w:rsidR="6E6F29CE" w:rsidRPr="00617370">
        <w:t>re statistically significant in the mixed-effect models for ATAR recipients and ATAR high achievers</w:t>
      </w:r>
      <w:r w:rsidR="29A740C9" w:rsidRPr="00617370">
        <w:t>,</w:t>
      </w:r>
      <w:r w:rsidR="6E6F29CE" w:rsidRPr="00617370">
        <w:t xml:space="preserve"> while </w:t>
      </w:r>
      <w:r w:rsidR="00FD12B8" w:rsidRPr="00617370">
        <w:t>t</w:t>
      </w:r>
      <w:r w:rsidR="6E6F29CE" w:rsidRPr="00617370">
        <w:t xml:space="preserve">able </w:t>
      </w:r>
      <w:r w:rsidR="00906194" w:rsidRPr="00617370">
        <w:t xml:space="preserve">4 </w:t>
      </w:r>
      <w:r w:rsidR="6E6F29CE" w:rsidRPr="00617370">
        <w:t>shows the results of the mixed-effect models reported in odds</w:t>
      </w:r>
      <w:r w:rsidR="0002613B" w:rsidRPr="00617370">
        <w:t xml:space="preserve"> </w:t>
      </w:r>
      <w:r w:rsidR="6E6F29CE" w:rsidRPr="00617370">
        <w:t>ratios (</w:t>
      </w:r>
      <w:r w:rsidR="009160C7" w:rsidRPr="00617370">
        <w:t xml:space="preserve">not including </w:t>
      </w:r>
      <w:r w:rsidR="6E6F29CE" w:rsidRPr="00617370">
        <w:t>the random effect).</w:t>
      </w:r>
      <w:r w:rsidR="242F3D91" w:rsidRPr="00617370">
        <w:t xml:space="preserve"> The odds ratio represents the </w:t>
      </w:r>
      <w:r w:rsidR="000C5816" w:rsidRPr="00617370">
        <w:t xml:space="preserve">relative likelihood </w:t>
      </w:r>
      <w:r w:rsidR="242F3D91" w:rsidRPr="00617370">
        <w:t xml:space="preserve">of </w:t>
      </w:r>
      <w:r w:rsidR="00405347" w:rsidRPr="00617370">
        <w:t>an</w:t>
      </w:r>
      <w:r w:rsidR="242F3D91" w:rsidRPr="00617370">
        <w:t xml:space="preserve"> event occurring for one level of the predictor variable compared </w:t>
      </w:r>
      <w:r w:rsidR="0002613B" w:rsidRPr="00617370">
        <w:t>with</w:t>
      </w:r>
      <w:r w:rsidR="242F3D91" w:rsidRPr="00617370">
        <w:t xml:space="preserve"> the reference level of the same predictor variable</w:t>
      </w:r>
      <w:r w:rsidR="6FE7622C" w:rsidRPr="00617370">
        <w:t>. An</w:t>
      </w:r>
      <w:r w:rsidR="14EC4F30" w:rsidRPr="00617370">
        <w:t xml:space="preserve"> odds</w:t>
      </w:r>
      <w:r w:rsidR="32CB586E" w:rsidRPr="00617370">
        <w:t xml:space="preserve"> </w:t>
      </w:r>
      <w:r w:rsidR="14EC4F30" w:rsidRPr="00617370">
        <w:t>ratio greater than one indicates a higher likelihood</w:t>
      </w:r>
      <w:r w:rsidR="242F3D91" w:rsidRPr="00617370">
        <w:t xml:space="preserve"> </w:t>
      </w:r>
      <w:r w:rsidR="14EC4F30" w:rsidRPr="00617370">
        <w:t>and an odds</w:t>
      </w:r>
      <w:r w:rsidR="00DFBEF0" w:rsidRPr="00617370">
        <w:t xml:space="preserve"> </w:t>
      </w:r>
      <w:r w:rsidR="14EC4F30" w:rsidRPr="00617370">
        <w:t xml:space="preserve">ratio less than one indicates a lower likelihood when compared </w:t>
      </w:r>
      <w:r w:rsidR="004C33AA" w:rsidRPr="00617370">
        <w:t>with</w:t>
      </w:r>
      <w:r w:rsidR="14EC4F30" w:rsidRPr="00617370">
        <w:t xml:space="preserve"> the reference category. An odd</w:t>
      </w:r>
      <w:r w:rsidR="62A4647B" w:rsidRPr="00617370">
        <w:t>s</w:t>
      </w:r>
      <w:r w:rsidR="35072417" w:rsidRPr="00617370">
        <w:t xml:space="preserve"> </w:t>
      </w:r>
      <w:r w:rsidR="14EC4F30" w:rsidRPr="00617370">
        <w:t xml:space="preserve">ratio equal to one indicates no difference in likelihood for any of the categories. </w:t>
      </w:r>
      <w:r w:rsidR="242F3D91" w:rsidRPr="00617370">
        <w:t xml:space="preserve">In </w:t>
      </w:r>
      <w:r w:rsidR="62A4647B" w:rsidRPr="00617370">
        <w:t xml:space="preserve">the </w:t>
      </w:r>
      <w:r w:rsidR="242F3D91" w:rsidRPr="00617370">
        <w:t>presence of an interaction term, the odds ratio represents the change in odds associated with a one-unit increase in the predictor variable when the other interacting variables are held constant.</w:t>
      </w:r>
    </w:p>
    <w:p w14:paraId="5EF27011" w14:textId="46070F80" w:rsidR="00F371F7" w:rsidRPr="00617370" w:rsidRDefault="00F371F7" w:rsidP="00F371F7">
      <w:pPr>
        <w:pStyle w:val="Text"/>
      </w:pPr>
      <w:r w:rsidRPr="00617370">
        <w:t>Odds</w:t>
      </w:r>
      <w:r w:rsidR="37BD4EC3" w:rsidRPr="00617370">
        <w:t xml:space="preserve"> </w:t>
      </w:r>
      <w:r w:rsidRPr="00617370">
        <w:t xml:space="preserve">ratio estimates for NAPLAN achievement scores are calculated based on an increment of 50 above the mean score. This is a rough approximation of the general increment in Year 9 NAPLAN achievement scores. NAPLAN achievement scores are not entirely linear in </w:t>
      </w:r>
      <w:r w:rsidR="003E4566" w:rsidRPr="00617370">
        <w:t xml:space="preserve">their </w:t>
      </w:r>
      <w:r w:rsidRPr="00617370">
        <w:t>increment</w:t>
      </w:r>
      <w:r w:rsidR="003E4566" w:rsidRPr="00617370">
        <w:t>s</w:t>
      </w:r>
      <w:r w:rsidR="00432DC3" w:rsidRPr="00617370">
        <w:t>,</w:t>
      </w:r>
      <w:r w:rsidRPr="00617370">
        <w:t xml:space="preserve"> as they are converted using the NAPLAN score equivalence table</w:t>
      </w:r>
      <w:r w:rsidR="00432DC3" w:rsidRPr="00617370">
        <w:t>.</w:t>
      </w:r>
      <w:r w:rsidR="007A673B" w:rsidRPr="00617370">
        <w:rPr>
          <w:rStyle w:val="FootnoteReference"/>
        </w:rPr>
        <w:footnoteReference w:id="5"/>
      </w:r>
      <w:r w:rsidR="00996DD4" w:rsidRPr="00617370">
        <w:rPr>
          <w:color w:val="F79646" w:themeColor="accent6"/>
        </w:rPr>
        <w:t xml:space="preserve"> </w:t>
      </w:r>
      <w:r w:rsidRPr="00617370">
        <w:t>Therefore, we note that</w:t>
      </w:r>
      <w:r w:rsidR="00BD4B10" w:rsidRPr="00617370">
        <w:t>,</w:t>
      </w:r>
      <w:r w:rsidRPr="00617370">
        <w:t xml:space="preserve"> if the increase in NAPLAN achievement scores is larger than 50, the odds</w:t>
      </w:r>
      <w:r w:rsidR="028E0D77" w:rsidRPr="00617370">
        <w:t xml:space="preserve"> </w:t>
      </w:r>
      <w:r w:rsidRPr="00617370">
        <w:t xml:space="preserve">ratio output will be larger than </w:t>
      </w:r>
      <w:r w:rsidR="00C2768F" w:rsidRPr="00617370">
        <w:t>those shown</w:t>
      </w:r>
      <w:r w:rsidRPr="00617370">
        <w:t xml:space="preserve"> in </w:t>
      </w:r>
      <w:r w:rsidR="00AC5360" w:rsidRPr="00617370">
        <w:t xml:space="preserve">table </w:t>
      </w:r>
      <w:r w:rsidR="00640A75" w:rsidRPr="00617370">
        <w:t>4</w:t>
      </w:r>
      <w:r w:rsidRPr="00617370">
        <w:t xml:space="preserve">.  </w:t>
      </w:r>
    </w:p>
    <w:p w14:paraId="7B1E32F8" w14:textId="52EDA53B" w:rsidR="00454A6D" w:rsidRPr="00617370" w:rsidRDefault="04867B5C" w:rsidP="00454A6D">
      <w:pPr>
        <w:pStyle w:val="Tabletitle"/>
        <w:rPr>
          <w:color w:val="FF0000"/>
        </w:rPr>
      </w:pPr>
      <w:bookmarkStart w:id="49" w:name="_Toc163480804"/>
      <w:r w:rsidRPr="00617370">
        <w:t xml:space="preserve">Table </w:t>
      </w:r>
      <w:r w:rsidR="00906194" w:rsidRPr="00617370">
        <w:t>3</w:t>
      </w:r>
      <w:r w:rsidR="00454A6D" w:rsidRPr="00617370">
        <w:tab/>
      </w:r>
      <w:r w:rsidR="00F73F30" w:rsidRPr="00617370">
        <w:t>Characteristics associated with receiving an ATAR score</w:t>
      </w:r>
      <w:r w:rsidR="00D91A2E" w:rsidRPr="00617370">
        <w:t xml:space="preserve"> and achieving </w:t>
      </w:r>
      <w:r w:rsidR="001E3240" w:rsidRPr="00617370">
        <w:t xml:space="preserve">a </w:t>
      </w:r>
      <w:r w:rsidR="00D91A2E" w:rsidRPr="00617370">
        <w:rPr>
          <w:i/>
          <w:iCs/>
        </w:rPr>
        <w:t>high</w:t>
      </w:r>
      <w:r w:rsidR="00D91A2E" w:rsidRPr="00617370">
        <w:t xml:space="preserve"> ATAR </w:t>
      </w:r>
      <w:r w:rsidR="00170631" w:rsidRPr="00617370">
        <w:t>score</w:t>
      </w:r>
      <w:bookmarkEnd w:id="49"/>
    </w:p>
    <w:tbl>
      <w:tblPr>
        <w:tblStyle w:val="NCVERTable"/>
        <w:tblW w:w="5399" w:type="pct"/>
        <w:tblLook w:val="04A0" w:firstRow="1" w:lastRow="0" w:firstColumn="1" w:lastColumn="0" w:noHBand="0" w:noVBand="1"/>
      </w:tblPr>
      <w:tblGrid>
        <w:gridCol w:w="2821"/>
        <w:gridCol w:w="1148"/>
        <w:gridCol w:w="897"/>
        <w:gridCol w:w="710"/>
        <w:gridCol w:w="1123"/>
        <w:gridCol w:w="1243"/>
        <w:gridCol w:w="1012"/>
        <w:gridCol w:w="1148"/>
      </w:tblGrid>
      <w:tr w:rsidR="003C0EFA" w:rsidRPr="00617370" w14:paraId="48B4CB4D" w14:textId="77777777" w:rsidTr="003C0EFA">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396" w:type="pct"/>
            <w:tcBorders>
              <w:bottom w:val="nil"/>
            </w:tcBorders>
            <w:shd w:val="clear" w:color="auto" w:fill="auto"/>
          </w:tcPr>
          <w:p w14:paraId="50965A37" w14:textId="77777777" w:rsidR="00454A6D" w:rsidRPr="00617370" w:rsidRDefault="00454A6D" w:rsidP="003E75CD">
            <w:pPr>
              <w:pStyle w:val="Tablehead1"/>
              <w:rPr>
                <w:b/>
                <w:bCs w:val="0"/>
              </w:rPr>
            </w:pPr>
          </w:p>
        </w:tc>
        <w:tc>
          <w:tcPr>
            <w:tcW w:w="568" w:type="pct"/>
            <w:tcBorders>
              <w:bottom w:val="nil"/>
            </w:tcBorders>
            <w:shd w:val="clear" w:color="auto" w:fill="auto"/>
          </w:tcPr>
          <w:p w14:paraId="330FCF37" w14:textId="77777777" w:rsidR="00454A6D" w:rsidRPr="00617370" w:rsidRDefault="00454A6D" w:rsidP="003E75CD">
            <w:pPr>
              <w:pStyle w:val="Tablehead1"/>
              <w:cnfStyle w:val="100000000000" w:firstRow="1" w:lastRow="0" w:firstColumn="0" w:lastColumn="0" w:oddVBand="0" w:evenVBand="0" w:oddHBand="0" w:evenHBand="0" w:firstRowFirstColumn="0" w:firstRowLastColumn="0" w:lastRowFirstColumn="0" w:lastRowLastColumn="0"/>
              <w:rPr>
                <w:b/>
                <w:bCs w:val="0"/>
              </w:rPr>
            </w:pPr>
          </w:p>
        </w:tc>
        <w:tc>
          <w:tcPr>
            <w:tcW w:w="1351" w:type="pct"/>
            <w:gridSpan w:val="3"/>
            <w:tcBorders>
              <w:bottom w:val="nil"/>
              <w:right w:val="single" w:sz="4" w:space="0" w:color="auto"/>
            </w:tcBorders>
            <w:shd w:val="clear" w:color="auto" w:fill="auto"/>
          </w:tcPr>
          <w:p w14:paraId="008D45A7" w14:textId="77777777" w:rsidR="00454A6D" w:rsidRPr="00617370" w:rsidRDefault="00454A6D" w:rsidP="003C0EFA">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Model 1: ATAR recipients</w:t>
            </w:r>
          </w:p>
        </w:tc>
        <w:tc>
          <w:tcPr>
            <w:tcW w:w="1684" w:type="pct"/>
            <w:gridSpan w:val="3"/>
            <w:tcBorders>
              <w:left w:val="single" w:sz="4" w:space="0" w:color="auto"/>
              <w:bottom w:val="nil"/>
            </w:tcBorders>
            <w:shd w:val="clear" w:color="auto" w:fill="auto"/>
          </w:tcPr>
          <w:p w14:paraId="46B5D4E2" w14:textId="77777777" w:rsidR="00454A6D" w:rsidRPr="00617370" w:rsidRDefault="00454A6D" w:rsidP="003C0EFA">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Model 2: ATAR high achievers</w:t>
            </w:r>
          </w:p>
        </w:tc>
      </w:tr>
      <w:tr w:rsidR="003C0EFA" w:rsidRPr="00617370" w14:paraId="759845E0" w14:textId="77777777" w:rsidTr="003C0EF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nil"/>
            </w:tcBorders>
            <w:shd w:val="clear" w:color="auto" w:fill="auto"/>
            <w:hideMark/>
          </w:tcPr>
          <w:p w14:paraId="5AE82F2C" w14:textId="77777777" w:rsidR="00454A6D" w:rsidRPr="00617370" w:rsidRDefault="00454A6D" w:rsidP="003E75CD">
            <w:pPr>
              <w:pStyle w:val="Tablehead1"/>
              <w:rPr>
                <w:b/>
                <w:bCs w:val="0"/>
              </w:rPr>
            </w:pPr>
            <w:r w:rsidRPr="00617370">
              <w:rPr>
                <w:b/>
                <w:bCs w:val="0"/>
              </w:rPr>
              <w:t>Fixed effects</w:t>
            </w:r>
          </w:p>
        </w:tc>
        <w:tc>
          <w:tcPr>
            <w:tcW w:w="568" w:type="pct"/>
            <w:tcBorders>
              <w:top w:val="nil"/>
            </w:tcBorders>
            <w:shd w:val="clear" w:color="auto" w:fill="auto"/>
            <w:hideMark/>
          </w:tcPr>
          <w:p w14:paraId="1866A1E6"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Degrees of freedom</w:t>
            </w:r>
          </w:p>
        </w:tc>
        <w:tc>
          <w:tcPr>
            <w:tcW w:w="444" w:type="pct"/>
            <w:tcBorders>
              <w:top w:val="nil"/>
            </w:tcBorders>
            <w:shd w:val="clear" w:color="auto" w:fill="auto"/>
            <w:hideMark/>
          </w:tcPr>
          <w:p w14:paraId="345DB226"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F-value</w:t>
            </w:r>
          </w:p>
        </w:tc>
        <w:tc>
          <w:tcPr>
            <w:tcW w:w="351" w:type="pct"/>
            <w:tcBorders>
              <w:top w:val="nil"/>
            </w:tcBorders>
            <w:shd w:val="clear" w:color="auto" w:fill="auto"/>
            <w:hideMark/>
          </w:tcPr>
          <w:p w14:paraId="09881B1F"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Pr &gt; F</w:t>
            </w:r>
          </w:p>
        </w:tc>
        <w:tc>
          <w:tcPr>
            <w:tcW w:w="556" w:type="pct"/>
            <w:tcBorders>
              <w:top w:val="nil"/>
              <w:right w:val="single" w:sz="4" w:space="0" w:color="auto"/>
            </w:tcBorders>
            <w:shd w:val="clear" w:color="auto" w:fill="auto"/>
          </w:tcPr>
          <w:p w14:paraId="45853A65"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c>
          <w:tcPr>
            <w:tcW w:w="615" w:type="pct"/>
            <w:tcBorders>
              <w:top w:val="nil"/>
              <w:left w:val="single" w:sz="4" w:space="0" w:color="auto"/>
            </w:tcBorders>
            <w:shd w:val="clear" w:color="auto" w:fill="auto"/>
          </w:tcPr>
          <w:p w14:paraId="231E0F22"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F-value</w:t>
            </w:r>
          </w:p>
        </w:tc>
        <w:tc>
          <w:tcPr>
            <w:tcW w:w="501" w:type="pct"/>
            <w:tcBorders>
              <w:top w:val="nil"/>
            </w:tcBorders>
            <w:shd w:val="clear" w:color="auto" w:fill="auto"/>
          </w:tcPr>
          <w:p w14:paraId="5337480B"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Pr &gt; F</w:t>
            </w:r>
          </w:p>
        </w:tc>
        <w:tc>
          <w:tcPr>
            <w:tcW w:w="568" w:type="pct"/>
            <w:tcBorders>
              <w:top w:val="nil"/>
            </w:tcBorders>
            <w:shd w:val="clear" w:color="auto" w:fill="auto"/>
          </w:tcPr>
          <w:p w14:paraId="0AD3ACC9" w14:textId="77777777" w:rsidR="00454A6D" w:rsidRPr="00617370" w:rsidRDefault="00454A6D"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r>
      <w:tr w:rsidR="003C0EFA" w:rsidRPr="00617370" w14:paraId="3834A318" w14:textId="77777777" w:rsidTr="003C0EFA">
        <w:trPr>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single" w:sz="4" w:space="0" w:color="auto"/>
              <w:bottom w:val="nil"/>
            </w:tcBorders>
            <w:noWrap/>
            <w:hideMark/>
          </w:tcPr>
          <w:p w14:paraId="6DBD9EAE" w14:textId="77777777" w:rsidR="00454A6D" w:rsidRPr="00617370" w:rsidRDefault="00454A6D">
            <w:pPr>
              <w:pStyle w:val="Tabletext"/>
              <w:rPr>
                <w:b w:val="0"/>
                <w:bCs/>
              </w:rPr>
            </w:pPr>
            <w:r w:rsidRPr="00617370">
              <w:rPr>
                <w:b w:val="0"/>
                <w:bCs/>
              </w:rPr>
              <w:t>Gender</w:t>
            </w:r>
          </w:p>
        </w:tc>
        <w:tc>
          <w:tcPr>
            <w:tcW w:w="568" w:type="pct"/>
            <w:tcBorders>
              <w:top w:val="single" w:sz="4" w:space="0" w:color="auto"/>
              <w:bottom w:val="nil"/>
            </w:tcBorders>
            <w:noWrap/>
            <w:hideMark/>
          </w:tcPr>
          <w:p w14:paraId="1E7D603D"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1</w:t>
            </w:r>
          </w:p>
        </w:tc>
        <w:tc>
          <w:tcPr>
            <w:tcW w:w="444" w:type="pct"/>
            <w:tcBorders>
              <w:top w:val="single" w:sz="4" w:space="0" w:color="auto"/>
              <w:bottom w:val="nil"/>
            </w:tcBorders>
            <w:noWrap/>
            <w:hideMark/>
          </w:tcPr>
          <w:p w14:paraId="4AE1D4B5"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18.6</w:t>
            </w:r>
          </w:p>
        </w:tc>
        <w:tc>
          <w:tcPr>
            <w:tcW w:w="351" w:type="pct"/>
            <w:tcBorders>
              <w:top w:val="single" w:sz="4" w:space="0" w:color="auto"/>
              <w:bottom w:val="nil"/>
            </w:tcBorders>
            <w:noWrap/>
            <w:hideMark/>
          </w:tcPr>
          <w:p w14:paraId="54AA07B5"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&lt;.0001</w:t>
            </w:r>
          </w:p>
        </w:tc>
        <w:tc>
          <w:tcPr>
            <w:tcW w:w="556" w:type="pct"/>
            <w:tcBorders>
              <w:top w:val="single" w:sz="4" w:space="0" w:color="auto"/>
              <w:bottom w:val="nil"/>
              <w:right w:val="single" w:sz="4" w:space="0" w:color="auto"/>
            </w:tcBorders>
          </w:tcPr>
          <w:p w14:paraId="19F6906F"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615" w:type="pct"/>
            <w:tcBorders>
              <w:top w:val="single" w:sz="4" w:space="0" w:color="auto"/>
              <w:left w:val="single" w:sz="4" w:space="0" w:color="auto"/>
              <w:bottom w:val="nil"/>
            </w:tcBorders>
          </w:tcPr>
          <w:p w14:paraId="230FB876"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15.32</w:t>
            </w:r>
          </w:p>
        </w:tc>
        <w:tc>
          <w:tcPr>
            <w:tcW w:w="501" w:type="pct"/>
            <w:tcBorders>
              <w:top w:val="single" w:sz="4" w:space="0" w:color="auto"/>
              <w:bottom w:val="nil"/>
            </w:tcBorders>
          </w:tcPr>
          <w:p w14:paraId="2D243AF2"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&lt;.0001</w:t>
            </w:r>
          </w:p>
        </w:tc>
        <w:tc>
          <w:tcPr>
            <w:tcW w:w="568" w:type="pct"/>
            <w:tcBorders>
              <w:top w:val="single" w:sz="4" w:space="0" w:color="auto"/>
              <w:bottom w:val="nil"/>
            </w:tcBorders>
          </w:tcPr>
          <w:p w14:paraId="61F6129B"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r>
      <w:tr w:rsidR="003C0EFA" w:rsidRPr="00617370" w14:paraId="0B4F5A6D" w14:textId="77777777" w:rsidTr="003C0EF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nil"/>
              <w:bottom w:val="nil"/>
            </w:tcBorders>
            <w:noWrap/>
            <w:hideMark/>
          </w:tcPr>
          <w:p w14:paraId="5661A0F1" w14:textId="77777777" w:rsidR="00454A6D" w:rsidRPr="00617370" w:rsidRDefault="00454A6D">
            <w:pPr>
              <w:pStyle w:val="Tabletext"/>
              <w:rPr>
                <w:b w:val="0"/>
                <w:bCs/>
              </w:rPr>
            </w:pPr>
            <w:r w:rsidRPr="00617370">
              <w:rPr>
                <w:b w:val="0"/>
                <w:bCs/>
              </w:rPr>
              <w:t>Indigenous status</w:t>
            </w:r>
          </w:p>
        </w:tc>
        <w:tc>
          <w:tcPr>
            <w:tcW w:w="568" w:type="pct"/>
            <w:tcBorders>
              <w:top w:val="nil"/>
              <w:bottom w:val="nil"/>
            </w:tcBorders>
            <w:noWrap/>
            <w:hideMark/>
          </w:tcPr>
          <w:p w14:paraId="7A68137E"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p>
        </w:tc>
        <w:tc>
          <w:tcPr>
            <w:tcW w:w="444" w:type="pct"/>
            <w:tcBorders>
              <w:top w:val="nil"/>
              <w:bottom w:val="nil"/>
            </w:tcBorders>
            <w:noWrap/>
            <w:hideMark/>
          </w:tcPr>
          <w:p w14:paraId="05C0AFBB"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8.31</w:t>
            </w:r>
          </w:p>
        </w:tc>
        <w:tc>
          <w:tcPr>
            <w:tcW w:w="351" w:type="pct"/>
            <w:tcBorders>
              <w:top w:val="nil"/>
              <w:bottom w:val="nil"/>
            </w:tcBorders>
            <w:noWrap/>
            <w:hideMark/>
          </w:tcPr>
          <w:p w14:paraId="4C223C39"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0.004</w:t>
            </w:r>
          </w:p>
        </w:tc>
        <w:tc>
          <w:tcPr>
            <w:tcW w:w="556" w:type="pct"/>
            <w:tcBorders>
              <w:top w:val="nil"/>
              <w:bottom w:val="nil"/>
              <w:right w:val="single" w:sz="4" w:space="0" w:color="auto"/>
            </w:tcBorders>
          </w:tcPr>
          <w:p w14:paraId="586D45C0"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615" w:type="pct"/>
            <w:tcBorders>
              <w:top w:val="nil"/>
              <w:left w:val="single" w:sz="4" w:space="0" w:color="auto"/>
              <w:bottom w:val="nil"/>
            </w:tcBorders>
          </w:tcPr>
          <w:p w14:paraId="7319B7EE"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1.99</w:t>
            </w:r>
          </w:p>
        </w:tc>
        <w:tc>
          <w:tcPr>
            <w:tcW w:w="501" w:type="pct"/>
            <w:tcBorders>
              <w:top w:val="nil"/>
              <w:bottom w:val="nil"/>
            </w:tcBorders>
          </w:tcPr>
          <w:p w14:paraId="3CB215DB"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0.1582</w:t>
            </w:r>
          </w:p>
        </w:tc>
        <w:tc>
          <w:tcPr>
            <w:tcW w:w="568" w:type="pct"/>
            <w:tcBorders>
              <w:top w:val="nil"/>
              <w:bottom w:val="nil"/>
            </w:tcBorders>
          </w:tcPr>
          <w:p w14:paraId="16FD37B8"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p>
        </w:tc>
      </w:tr>
      <w:tr w:rsidR="003C0EFA" w:rsidRPr="00617370" w14:paraId="3C14E5CF" w14:textId="77777777" w:rsidTr="003C0EFA">
        <w:trPr>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nil"/>
              <w:bottom w:val="nil"/>
            </w:tcBorders>
            <w:noWrap/>
            <w:hideMark/>
          </w:tcPr>
          <w:p w14:paraId="7E4CAD22" w14:textId="77777777" w:rsidR="00454A6D" w:rsidRPr="00617370" w:rsidRDefault="00454A6D">
            <w:pPr>
              <w:pStyle w:val="Tabletext"/>
              <w:rPr>
                <w:b w:val="0"/>
                <w:bCs/>
              </w:rPr>
            </w:pPr>
            <w:r w:rsidRPr="00617370">
              <w:rPr>
                <w:b w:val="0"/>
                <w:bCs/>
              </w:rPr>
              <w:t>Language spoken at home</w:t>
            </w:r>
          </w:p>
        </w:tc>
        <w:tc>
          <w:tcPr>
            <w:tcW w:w="568" w:type="pct"/>
            <w:tcBorders>
              <w:top w:val="nil"/>
              <w:bottom w:val="nil"/>
            </w:tcBorders>
            <w:noWrap/>
            <w:hideMark/>
          </w:tcPr>
          <w:p w14:paraId="5E9AF1A1"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1</w:t>
            </w:r>
          </w:p>
        </w:tc>
        <w:tc>
          <w:tcPr>
            <w:tcW w:w="444" w:type="pct"/>
            <w:tcBorders>
              <w:top w:val="nil"/>
              <w:bottom w:val="nil"/>
            </w:tcBorders>
            <w:noWrap/>
            <w:hideMark/>
          </w:tcPr>
          <w:p w14:paraId="79348620"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6.21</w:t>
            </w:r>
          </w:p>
        </w:tc>
        <w:tc>
          <w:tcPr>
            <w:tcW w:w="351" w:type="pct"/>
            <w:tcBorders>
              <w:top w:val="nil"/>
              <w:bottom w:val="nil"/>
            </w:tcBorders>
            <w:noWrap/>
            <w:hideMark/>
          </w:tcPr>
          <w:p w14:paraId="6F0A7541"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0.0128</w:t>
            </w:r>
          </w:p>
        </w:tc>
        <w:tc>
          <w:tcPr>
            <w:tcW w:w="556" w:type="pct"/>
            <w:tcBorders>
              <w:top w:val="nil"/>
              <w:bottom w:val="nil"/>
              <w:right w:val="single" w:sz="4" w:space="0" w:color="auto"/>
            </w:tcBorders>
          </w:tcPr>
          <w:p w14:paraId="7F4133B9"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615" w:type="pct"/>
            <w:tcBorders>
              <w:top w:val="nil"/>
              <w:left w:val="single" w:sz="4" w:space="0" w:color="auto"/>
              <w:bottom w:val="nil"/>
            </w:tcBorders>
          </w:tcPr>
          <w:p w14:paraId="036A3CD1"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0.39</w:t>
            </w:r>
          </w:p>
        </w:tc>
        <w:tc>
          <w:tcPr>
            <w:tcW w:w="501" w:type="pct"/>
            <w:tcBorders>
              <w:top w:val="nil"/>
              <w:bottom w:val="nil"/>
            </w:tcBorders>
          </w:tcPr>
          <w:p w14:paraId="1DABD41A"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0.5349</w:t>
            </w:r>
          </w:p>
        </w:tc>
        <w:tc>
          <w:tcPr>
            <w:tcW w:w="568" w:type="pct"/>
            <w:tcBorders>
              <w:top w:val="nil"/>
              <w:bottom w:val="nil"/>
            </w:tcBorders>
          </w:tcPr>
          <w:p w14:paraId="63F4A96F"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p>
        </w:tc>
      </w:tr>
      <w:tr w:rsidR="003C0EFA" w:rsidRPr="00617370" w14:paraId="1057417A" w14:textId="77777777" w:rsidTr="003C0EF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nil"/>
              <w:bottom w:val="nil"/>
            </w:tcBorders>
            <w:noWrap/>
            <w:hideMark/>
          </w:tcPr>
          <w:p w14:paraId="08C111EA" w14:textId="252C4310" w:rsidR="00454A6D" w:rsidRPr="00617370" w:rsidRDefault="00454A6D">
            <w:pPr>
              <w:pStyle w:val="Tabletext"/>
              <w:rPr>
                <w:b w:val="0"/>
                <w:bCs/>
              </w:rPr>
            </w:pPr>
            <w:r w:rsidRPr="00617370">
              <w:rPr>
                <w:b w:val="0"/>
                <w:bCs/>
              </w:rPr>
              <w:t>Socioeconomic status</w:t>
            </w:r>
          </w:p>
        </w:tc>
        <w:tc>
          <w:tcPr>
            <w:tcW w:w="568" w:type="pct"/>
            <w:tcBorders>
              <w:top w:val="nil"/>
              <w:bottom w:val="nil"/>
            </w:tcBorders>
            <w:noWrap/>
            <w:hideMark/>
          </w:tcPr>
          <w:p w14:paraId="71D8FE12"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4</w:t>
            </w:r>
          </w:p>
        </w:tc>
        <w:tc>
          <w:tcPr>
            <w:tcW w:w="444" w:type="pct"/>
            <w:tcBorders>
              <w:top w:val="nil"/>
              <w:bottom w:val="nil"/>
            </w:tcBorders>
            <w:noWrap/>
            <w:hideMark/>
          </w:tcPr>
          <w:p w14:paraId="2C97DDFE"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1.97</w:t>
            </w:r>
          </w:p>
        </w:tc>
        <w:tc>
          <w:tcPr>
            <w:tcW w:w="351" w:type="pct"/>
            <w:tcBorders>
              <w:top w:val="nil"/>
              <w:bottom w:val="nil"/>
            </w:tcBorders>
            <w:noWrap/>
            <w:hideMark/>
          </w:tcPr>
          <w:p w14:paraId="592C3103"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0.0973</w:t>
            </w:r>
          </w:p>
        </w:tc>
        <w:tc>
          <w:tcPr>
            <w:tcW w:w="556" w:type="pct"/>
            <w:tcBorders>
              <w:top w:val="nil"/>
              <w:bottom w:val="nil"/>
              <w:right w:val="single" w:sz="4" w:space="0" w:color="auto"/>
            </w:tcBorders>
          </w:tcPr>
          <w:p w14:paraId="0F6134D5"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p>
        </w:tc>
        <w:tc>
          <w:tcPr>
            <w:tcW w:w="615" w:type="pct"/>
            <w:tcBorders>
              <w:top w:val="nil"/>
              <w:left w:val="single" w:sz="4" w:space="0" w:color="auto"/>
              <w:bottom w:val="nil"/>
            </w:tcBorders>
          </w:tcPr>
          <w:p w14:paraId="1F3482B5"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0.15</w:t>
            </w:r>
          </w:p>
        </w:tc>
        <w:tc>
          <w:tcPr>
            <w:tcW w:w="501" w:type="pct"/>
            <w:tcBorders>
              <w:top w:val="nil"/>
              <w:bottom w:val="nil"/>
            </w:tcBorders>
          </w:tcPr>
          <w:p w14:paraId="3C871D7D"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0.9616</w:t>
            </w:r>
          </w:p>
        </w:tc>
        <w:tc>
          <w:tcPr>
            <w:tcW w:w="568" w:type="pct"/>
            <w:tcBorders>
              <w:top w:val="nil"/>
              <w:bottom w:val="nil"/>
            </w:tcBorders>
          </w:tcPr>
          <w:p w14:paraId="2683260B"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p>
        </w:tc>
      </w:tr>
      <w:tr w:rsidR="003C0EFA" w:rsidRPr="00617370" w14:paraId="4E3F4A76" w14:textId="77777777" w:rsidTr="003C0EFA">
        <w:trPr>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nil"/>
              <w:bottom w:val="nil"/>
            </w:tcBorders>
            <w:noWrap/>
            <w:hideMark/>
          </w:tcPr>
          <w:p w14:paraId="7E7791C0" w14:textId="77777777" w:rsidR="00454A6D" w:rsidRPr="00617370" w:rsidRDefault="00454A6D">
            <w:pPr>
              <w:pStyle w:val="Tabletext"/>
              <w:rPr>
                <w:b w:val="0"/>
                <w:bCs/>
              </w:rPr>
            </w:pPr>
            <w:r w:rsidRPr="00617370">
              <w:rPr>
                <w:b w:val="0"/>
                <w:bCs/>
              </w:rPr>
              <w:t>NAPLAN achievement scores</w:t>
            </w:r>
          </w:p>
        </w:tc>
        <w:tc>
          <w:tcPr>
            <w:tcW w:w="568" w:type="pct"/>
            <w:tcBorders>
              <w:top w:val="nil"/>
              <w:bottom w:val="nil"/>
            </w:tcBorders>
            <w:noWrap/>
            <w:hideMark/>
          </w:tcPr>
          <w:p w14:paraId="4C1F67F0"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1</w:t>
            </w:r>
          </w:p>
        </w:tc>
        <w:tc>
          <w:tcPr>
            <w:tcW w:w="444" w:type="pct"/>
            <w:tcBorders>
              <w:top w:val="nil"/>
              <w:bottom w:val="nil"/>
            </w:tcBorders>
            <w:noWrap/>
            <w:hideMark/>
          </w:tcPr>
          <w:p w14:paraId="6BE33F52"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216.52</w:t>
            </w:r>
          </w:p>
        </w:tc>
        <w:tc>
          <w:tcPr>
            <w:tcW w:w="351" w:type="pct"/>
            <w:tcBorders>
              <w:top w:val="nil"/>
              <w:bottom w:val="nil"/>
            </w:tcBorders>
            <w:noWrap/>
            <w:hideMark/>
          </w:tcPr>
          <w:p w14:paraId="08012487"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&lt;.0001</w:t>
            </w:r>
          </w:p>
        </w:tc>
        <w:tc>
          <w:tcPr>
            <w:tcW w:w="556" w:type="pct"/>
            <w:tcBorders>
              <w:top w:val="nil"/>
              <w:bottom w:val="nil"/>
              <w:right w:val="single" w:sz="4" w:space="0" w:color="auto"/>
            </w:tcBorders>
          </w:tcPr>
          <w:p w14:paraId="2EE30CB6"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615" w:type="pct"/>
            <w:tcBorders>
              <w:top w:val="nil"/>
              <w:left w:val="single" w:sz="4" w:space="0" w:color="auto"/>
              <w:bottom w:val="nil"/>
            </w:tcBorders>
          </w:tcPr>
          <w:p w14:paraId="576B6866"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145.1</w:t>
            </w:r>
          </w:p>
        </w:tc>
        <w:tc>
          <w:tcPr>
            <w:tcW w:w="501" w:type="pct"/>
            <w:tcBorders>
              <w:top w:val="nil"/>
              <w:bottom w:val="nil"/>
            </w:tcBorders>
          </w:tcPr>
          <w:p w14:paraId="4E90F96E"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&lt;.0001</w:t>
            </w:r>
          </w:p>
        </w:tc>
        <w:tc>
          <w:tcPr>
            <w:tcW w:w="568" w:type="pct"/>
            <w:tcBorders>
              <w:top w:val="nil"/>
              <w:bottom w:val="nil"/>
            </w:tcBorders>
          </w:tcPr>
          <w:p w14:paraId="2ABDCBC7" w14:textId="77777777" w:rsidR="00454A6D" w:rsidRPr="00617370" w:rsidRDefault="00454A6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r>
      <w:tr w:rsidR="003C0EFA" w:rsidRPr="00617370" w14:paraId="55F408CE" w14:textId="77777777" w:rsidTr="003C0EF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tcBorders>
              <w:top w:val="nil"/>
              <w:bottom w:val="single" w:sz="4" w:space="0" w:color="auto"/>
            </w:tcBorders>
            <w:noWrap/>
            <w:hideMark/>
          </w:tcPr>
          <w:p w14:paraId="6D188168" w14:textId="5F5C62CD" w:rsidR="00454A6D" w:rsidRPr="00617370" w:rsidRDefault="00454A6D">
            <w:pPr>
              <w:pStyle w:val="Tabletext"/>
              <w:rPr>
                <w:b w:val="0"/>
                <w:bCs/>
              </w:rPr>
            </w:pPr>
            <w:r w:rsidRPr="00617370">
              <w:rPr>
                <w:b w:val="0"/>
                <w:bCs/>
              </w:rPr>
              <w:t>NAPLAN achievement scores</w:t>
            </w:r>
            <w:r w:rsidR="00C61D9A" w:rsidRPr="00617370">
              <w:rPr>
                <w:b w:val="0"/>
                <w:bCs/>
              </w:rPr>
              <w:t xml:space="preserve"> x</w:t>
            </w:r>
            <w:r w:rsidRPr="00617370">
              <w:rPr>
                <w:b w:val="0"/>
                <w:bCs/>
              </w:rPr>
              <w:t xml:space="preserve"> SES</w:t>
            </w:r>
          </w:p>
        </w:tc>
        <w:tc>
          <w:tcPr>
            <w:tcW w:w="568" w:type="pct"/>
            <w:tcBorders>
              <w:top w:val="nil"/>
              <w:bottom w:val="single" w:sz="4" w:space="0" w:color="auto"/>
            </w:tcBorders>
            <w:noWrap/>
            <w:hideMark/>
          </w:tcPr>
          <w:p w14:paraId="60296C3D"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4</w:t>
            </w:r>
          </w:p>
        </w:tc>
        <w:tc>
          <w:tcPr>
            <w:tcW w:w="444" w:type="pct"/>
            <w:tcBorders>
              <w:top w:val="nil"/>
              <w:bottom w:val="single" w:sz="4" w:space="0" w:color="auto"/>
            </w:tcBorders>
            <w:noWrap/>
            <w:hideMark/>
          </w:tcPr>
          <w:p w14:paraId="302A4AEF"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2.58</w:t>
            </w:r>
          </w:p>
        </w:tc>
        <w:tc>
          <w:tcPr>
            <w:tcW w:w="351" w:type="pct"/>
            <w:tcBorders>
              <w:top w:val="nil"/>
              <w:bottom w:val="single" w:sz="4" w:space="0" w:color="auto"/>
            </w:tcBorders>
            <w:noWrap/>
            <w:hideMark/>
          </w:tcPr>
          <w:p w14:paraId="61898671"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0.0356</w:t>
            </w:r>
          </w:p>
        </w:tc>
        <w:tc>
          <w:tcPr>
            <w:tcW w:w="556" w:type="pct"/>
            <w:tcBorders>
              <w:top w:val="nil"/>
              <w:bottom w:val="single" w:sz="4" w:space="0" w:color="auto"/>
              <w:right w:val="single" w:sz="4" w:space="0" w:color="auto"/>
            </w:tcBorders>
          </w:tcPr>
          <w:p w14:paraId="73F79229"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615" w:type="pct"/>
            <w:tcBorders>
              <w:top w:val="nil"/>
              <w:left w:val="single" w:sz="4" w:space="0" w:color="auto"/>
              <w:bottom w:val="single" w:sz="4" w:space="0" w:color="auto"/>
            </w:tcBorders>
          </w:tcPr>
          <w:p w14:paraId="7BAF2B6C"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0.15</w:t>
            </w:r>
          </w:p>
        </w:tc>
        <w:tc>
          <w:tcPr>
            <w:tcW w:w="501" w:type="pct"/>
            <w:tcBorders>
              <w:top w:val="nil"/>
              <w:bottom w:val="single" w:sz="4" w:space="0" w:color="auto"/>
            </w:tcBorders>
          </w:tcPr>
          <w:p w14:paraId="0A21CA3F"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r w:rsidRPr="00617370">
              <w:t>0.9652</w:t>
            </w:r>
          </w:p>
        </w:tc>
        <w:tc>
          <w:tcPr>
            <w:tcW w:w="568" w:type="pct"/>
            <w:tcBorders>
              <w:top w:val="nil"/>
              <w:bottom w:val="single" w:sz="4" w:space="0" w:color="auto"/>
            </w:tcBorders>
          </w:tcPr>
          <w:p w14:paraId="4D5877AD" w14:textId="77777777" w:rsidR="00454A6D" w:rsidRPr="00617370" w:rsidRDefault="00454A6D">
            <w:pPr>
              <w:pStyle w:val="Tabletext"/>
              <w:jc w:val="center"/>
              <w:cnfStyle w:val="000000100000" w:firstRow="0" w:lastRow="0" w:firstColumn="0" w:lastColumn="0" w:oddVBand="0" w:evenVBand="0" w:oddHBand="1" w:evenHBand="0" w:firstRowFirstColumn="0" w:firstRowLastColumn="0" w:lastRowFirstColumn="0" w:lastRowLastColumn="0"/>
            </w:pPr>
          </w:p>
        </w:tc>
      </w:tr>
    </w:tbl>
    <w:p w14:paraId="6D2E6CF4" w14:textId="3101A676" w:rsidR="003E75CD" w:rsidRPr="00617370" w:rsidRDefault="00EF48D8" w:rsidP="00595D13">
      <w:pPr>
        <w:pStyle w:val="Source"/>
      </w:pPr>
      <w:bookmarkStart w:id="50" w:name="_Toc163480805"/>
      <w:r w:rsidRPr="00617370">
        <w:t xml:space="preserve">Note: * indicates statistical significance at the 5% level, where the p-value </w:t>
      </w:r>
      <w:r w:rsidR="003C0EFA" w:rsidRPr="00617370">
        <w:t xml:space="preserve">≤ </w:t>
      </w:r>
      <w:r w:rsidRPr="00617370">
        <w:t>0.05.</w:t>
      </w:r>
    </w:p>
    <w:p w14:paraId="68A98437" w14:textId="77777777" w:rsidR="003E75CD" w:rsidRPr="00617370" w:rsidRDefault="003E75CD">
      <w:pPr>
        <w:spacing w:before="0" w:line="240" w:lineRule="auto"/>
        <w:rPr>
          <w:rFonts w:ascii="Arial" w:hAnsi="Arial"/>
          <w:b/>
          <w:sz w:val="17"/>
        </w:rPr>
      </w:pPr>
      <w:r w:rsidRPr="00617370">
        <w:br w:type="page"/>
      </w:r>
    </w:p>
    <w:p w14:paraId="15C23689" w14:textId="6B9C6D6C" w:rsidR="00F371F7" w:rsidRPr="00617370" w:rsidRDefault="14EC4F30" w:rsidP="00F371F7">
      <w:pPr>
        <w:pStyle w:val="Tabletitle"/>
      </w:pPr>
      <w:r w:rsidRPr="00617370">
        <w:lastRenderedPageBreak/>
        <w:t xml:space="preserve">Table </w:t>
      </w:r>
      <w:r w:rsidR="00906194" w:rsidRPr="00617370">
        <w:t>4</w:t>
      </w:r>
      <w:r w:rsidR="00F371F7" w:rsidRPr="00617370">
        <w:tab/>
      </w:r>
      <w:r w:rsidR="00996DD4" w:rsidRPr="00617370">
        <w:t>Odds</w:t>
      </w:r>
      <w:r w:rsidR="00E00C23" w:rsidRPr="00617370">
        <w:t xml:space="preserve"> </w:t>
      </w:r>
      <w:r w:rsidR="00996DD4" w:rsidRPr="00617370">
        <w:t>ratio output for mixed</w:t>
      </w:r>
      <w:r w:rsidR="00E00C23" w:rsidRPr="00617370">
        <w:t>-</w:t>
      </w:r>
      <w:r w:rsidR="00996DD4" w:rsidRPr="00617370">
        <w:t xml:space="preserve">effect modelling of </w:t>
      </w:r>
      <w:r w:rsidR="00005343" w:rsidRPr="00617370">
        <w:t xml:space="preserve">ATAR recipients and ATAR </w:t>
      </w:r>
      <w:r w:rsidR="00005343" w:rsidRPr="00617370">
        <w:rPr>
          <w:i/>
          <w:iCs/>
        </w:rPr>
        <w:t>high</w:t>
      </w:r>
      <w:r w:rsidR="00AA2ACE" w:rsidRPr="00617370">
        <w:t xml:space="preserve"> </w:t>
      </w:r>
      <w:r w:rsidR="00005343" w:rsidRPr="00617370">
        <w:t>achievers on</w:t>
      </w:r>
      <w:r w:rsidR="00996DD4" w:rsidRPr="00617370">
        <w:t xml:space="preserve"> NAPLAN achievement scores and respondents’ socio-demographic variables</w:t>
      </w:r>
      <w:bookmarkEnd w:id="50"/>
      <w:r w:rsidR="00996DD4" w:rsidRPr="00617370">
        <w:t xml:space="preserve"> </w:t>
      </w:r>
    </w:p>
    <w:tbl>
      <w:tblPr>
        <w:tblStyle w:val="NCVERTable"/>
        <w:tblW w:w="9367" w:type="dxa"/>
        <w:tblLayout w:type="fixed"/>
        <w:tblLook w:val="04A0" w:firstRow="1" w:lastRow="0" w:firstColumn="1" w:lastColumn="0" w:noHBand="0" w:noVBand="1"/>
      </w:tblPr>
      <w:tblGrid>
        <w:gridCol w:w="3119"/>
        <w:gridCol w:w="1041"/>
        <w:gridCol w:w="1041"/>
        <w:gridCol w:w="1042"/>
        <w:gridCol w:w="1041"/>
        <w:gridCol w:w="1041"/>
        <w:gridCol w:w="1042"/>
      </w:tblGrid>
      <w:tr w:rsidR="00F371F7" w:rsidRPr="00617370" w14:paraId="59D1021B" w14:textId="77777777" w:rsidTr="00595D1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shd w:val="clear" w:color="auto" w:fill="auto"/>
            <w:noWrap/>
            <w:vAlign w:val="center"/>
            <w:hideMark/>
          </w:tcPr>
          <w:p w14:paraId="56B2F0FF" w14:textId="77777777" w:rsidR="00F371F7" w:rsidRPr="00617370" w:rsidRDefault="00F371F7" w:rsidP="003E75CD">
            <w:pPr>
              <w:pStyle w:val="Tablehead1"/>
              <w:jc w:val="center"/>
              <w:rPr>
                <w:b/>
                <w:bCs w:val="0"/>
              </w:rPr>
            </w:pPr>
          </w:p>
        </w:tc>
        <w:tc>
          <w:tcPr>
            <w:tcW w:w="3124" w:type="dxa"/>
            <w:gridSpan w:val="3"/>
            <w:tcBorders>
              <w:bottom w:val="nil"/>
              <w:right w:val="single" w:sz="4" w:space="0" w:color="auto"/>
            </w:tcBorders>
            <w:shd w:val="clear" w:color="auto" w:fill="auto"/>
            <w:noWrap/>
            <w:vAlign w:val="center"/>
            <w:hideMark/>
          </w:tcPr>
          <w:p w14:paraId="29D44E90" w14:textId="41919258" w:rsidR="00F371F7" w:rsidRPr="00617370" w:rsidRDefault="00E62E4C" w:rsidP="003E75CD">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Model 1: </w:t>
            </w:r>
            <w:r w:rsidR="00F371F7" w:rsidRPr="00617370">
              <w:rPr>
                <w:b/>
                <w:bCs w:val="0"/>
              </w:rPr>
              <w:t>ATAR recipients</w:t>
            </w:r>
          </w:p>
        </w:tc>
        <w:tc>
          <w:tcPr>
            <w:tcW w:w="3124" w:type="dxa"/>
            <w:gridSpan w:val="3"/>
            <w:tcBorders>
              <w:left w:val="single" w:sz="4" w:space="0" w:color="auto"/>
              <w:bottom w:val="nil"/>
            </w:tcBorders>
            <w:shd w:val="clear" w:color="auto" w:fill="auto"/>
            <w:noWrap/>
            <w:vAlign w:val="center"/>
            <w:hideMark/>
          </w:tcPr>
          <w:p w14:paraId="50D6C1AE" w14:textId="17ED4265" w:rsidR="00F371F7" w:rsidRPr="00617370" w:rsidRDefault="00E62E4C" w:rsidP="003E75CD">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Model 2: </w:t>
            </w:r>
            <w:r w:rsidR="00F371F7" w:rsidRPr="00617370">
              <w:rPr>
                <w:b/>
                <w:bCs w:val="0"/>
              </w:rPr>
              <w:t>ATAR high achievers</w:t>
            </w:r>
          </w:p>
        </w:tc>
      </w:tr>
      <w:tr w:rsidR="00595D13" w:rsidRPr="00617370" w14:paraId="7CA7E608" w14:textId="77777777" w:rsidTr="00C61D9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shd w:val="clear" w:color="auto" w:fill="F2F2F2" w:themeFill="background1" w:themeFillShade="F2"/>
            <w:noWrap/>
            <w:vAlign w:val="center"/>
            <w:hideMark/>
          </w:tcPr>
          <w:p w14:paraId="3FA31ADD" w14:textId="77777777" w:rsidR="00F371F7" w:rsidRPr="00617370" w:rsidRDefault="00F371F7" w:rsidP="003E75CD">
            <w:pPr>
              <w:pStyle w:val="Tablehead1"/>
              <w:rPr>
                <w:b/>
                <w:bCs w:val="0"/>
              </w:rPr>
            </w:pPr>
            <w:r w:rsidRPr="00617370">
              <w:rPr>
                <w:b/>
                <w:bCs w:val="0"/>
              </w:rPr>
              <w:t>Fixed effects</w:t>
            </w:r>
          </w:p>
        </w:tc>
        <w:tc>
          <w:tcPr>
            <w:tcW w:w="1041" w:type="dxa"/>
            <w:tcBorders>
              <w:top w:val="nil"/>
              <w:bottom w:val="single" w:sz="4" w:space="0" w:color="auto"/>
            </w:tcBorders>
            <w:shd w:val="clear" w:color="auto" w:fill="F2F2F2" w:themeFill="background1" w:themeFillShade="F2"/>
            <w:noWrap/>
            <w:vAlign w:val="center"/>
            <w:hideMark/>
          </w:tcPr>
          <w:p w14:paraId="6F4A5F1B" w14:textId="56B24A26" w:rsidR="00F371F7" w:rsidRPr="00617370" w:rsidRDefault="00F371F7"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Odds</w:t>
            </w:r>
            <w:r w:rsidR="234956CA" w:rsidRPr="00617370">
              <w:rPr>
                <w:sz w:val="16"/>
                <w:szCs w:val="16"/>
              </w:rPr>
              <w:t xml:space="preserve"> </w:t>
            </w:r>
            <w:r w:rsidRPr="00617370">
              <w:rPr>
                <w:sz w:val="16"/>
                <w:szCs w:val="16"/>
              </w:rPr>
              <w:t>ratio</w:t>
            </w:r>
          </w:p>
        </w:tc>
        <w:tc>
          <w:tcPr>
            <w:tcW w:w="1041" w:type="dxa"/>
            <w:tcBorders>
              <w:top w:val="nil"/>
              <w:bottom w:val="single" w:sz="4" w:space="0" w:color="auto"/>
            </w:tcBorders>
            <w:shd w:val="clear" w:color="auto" w:fill="F2F2F2" w:themeFill="background1" w:themeFillShade="F2"/>
            <w:noWrap/>
            <w:vAlign w:val="center"/>
            <w:hideMark/>
          </w:tcPr>
          <w:p w14:paraId="132F9250" w14:textId="77777777" w:rsidR="00F371F7" w:rsidRPr="00617370" w:rsidRDefault="00F371F7"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p-value</w:t>
            </w:r>
          </w:p>
        </w:tc>
        <w:tc>
          <w:tcPr>
            <w:tcW w:w="1042" w:type="dxa"/>
            <w:tcBorders>
              <w:top w:val="nil"/>
              <w:bottom w:val="single" w:sz="4" w:space="0" w:color="auto"/>
              <w:right w:val="single" w:sz="4" w:space="0" w:color="auto"/>
            </w:tcBorders>
            <w:shd w:val="clear" w:color="auto" w:fill="F2F2F2" w:themeFill="background1" w:themeFillShade="F2"/>
            <w:noWrap/>
            <w:vAlign w:val="center"/>
            <w:hideMark/>
          </w:tcPr>
          <w:p w14:paraId="230CB226" w14:textId="77777777" w:rsidR="00F371F7" w:rsidRPr="00617370" w:rsidRDefault="00F371F7"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c>
          <w:tcPr>
            <w:tcW w:w="1041" w:type="dxa"/>
            <w:tcBorders>
              <w:top w:val="nil"/>
              <w:left w:val="single" w:sz="4" w:space="0" w:color="auto"/>
              <w:bottom w:val="single" w:sz="4" w:space="0" w:color="auto"/>
            </w:tcBorders>
            <w:shd w:val="clear" w:color="auto" w:fill="F2F2F2" w:themeFill="background1" w:themeFillShade="F2"/>
            <w:noWrap/>
            <w:vAlign w:val="center"/>
            <w:hideMark/>
          </w:tcPr>
          <w:p w14:paraId="391B204A" w14:textId="5ECA52FD" w:rsidR="00F371F7" w:rsidRPr="00617370" w:rsidRDefault="00F371F7"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Odds</w:t>
            </w:r>
            <w:r w:rsidR="16FECDBF" w:rsidRPr="00617370">
              <w:rPr>
                <w:sz w:val="16"/>
                <w:szCs w:val="16"/>
              </w:rPr>
              <w:t xml:space="preserve"> </w:t>
            </w:r>
            <w:r w:rsidRPr="00617370">
              <w:rPr>
                <w:sz w:val="16"/>
                <w:szCs w:val="16"/>
              </w:rPr>
              <w:t>ratio</w:t>
            </w:r>
          </w:p>
        </w:tc>
        <w:tc>
          <w:tcPr>
            <w:tcW w:w="1041" w:type="dxa"/>
            <w:tcBorders>
              <w:top w:val="nil"/>
              <w:bottom w:val="single" w:sz="4" w:space="0" w:color="auto"/>
            </w:tcBorders>
            <w:shd w:val="clear" w:color="auto" w:fill="F2F2F2" w:themeFill="background1" w:themeFillShade="F2"/>
            <w:noWrap/>
            <w:vAlign w:val="center"/>
            <w:hideMark/>
          </w:tcPr>
          <w:p w14:paraId="60B29178" w14:textId="77777777" w:rsidR="00F371F7" w:rsidRPr="00617370" w:rsidRDefault="00F371F7"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p-value</w:t>
            </w:r>
          </w:p>
        </w:tc>
        <w:tc>
          <w:tcPr>
            <w:tcW w:w="1042" w:type="dxa"/>
            <w:tcBorders>
              <w:top w:val="nil"/>
              <w:bottom w:val="single" w:sz="4" w:space="0" w:color="auto"/>
            </w:tcBorders>
            <w:shd w:val="clear" w:color="auto" w:fill="F2F2F2" w:themeFill="background1" w:themeFillShade="F2"/>
            <w:noWrap/>
            <w:vAlign w:val="center"/>
            <w:hideMark/>
          </w:tcPr>
          <w:p w14:paraId="3D839996" w14:textId="77777777" w:rsidR="00F371F7" w:rsidRPr="00617370" w:rsidRDefault="00F371F7" w:rsidP="003E75CD">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r>
      <w:tr w:rsidR="00595D13" w:rsidRPr="00617370" w14:paraId="1A11BEC2" w14:textId="77777777" w:rsidTr="00C61D9A">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il"/>
            </w:tcBorders>
            <w:shd w:val="clear" w:color="auto" w:fill="auto"/>
            <w:noWrap/>
            <w:hideMark/>
          </w:tcPr>
          <w:p w14:paraId="5030B93E" w14:textId="77777777" w:rsidR="00F371F7" w:rsidRPr="00617370" w:rsidRDefault="00F371F7">
            <w:pPr>
              <w:pStyle w:val="Tabletext"/>
              <w:rPr>
                <w:bCs/>
              </w:rPr>
            </w:pPr>
            <w:r w:rsidRPr="00617370">
              <w:rPr>
                <w:bCs/>
              </w:rPr>
              <w:t>Gender</w:t>
            </w:r>
          </w:p>
        </w:tc>
        <w:tc>
          <w:tcPr>
            <w:tcW w:w="1041" w:type="dxa"/>
            <w:tcBorders>
              <w:top w:val="single" w:sz="4" w:space="0" w:color="auto"/>
              <w:bottom w:val="nil"/>
            </w:tcBorders>
            <w:shd w:val="clear" w:color="auto" w:fill="auto"/>
            <w:noWrap/>
            <w:hideMark/>
          </w:tcPr>
          <w:p w14:paraId="783F4E92" w14:textId="77777777" w:rsidR="00F371F7" w:rsidRPr="00617370" w:rsidRDefault="00F371F7">
            <w:pPr>
              <w:pStyle w:val="Tabletext"/>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bottom w:val="nil"/>
            </w:tcBorders>
            <w:shd w:val="clear" w:color="auto" w:fill="auto"/>
            <w:noWrap/>
            <w:hideMark/>
          </w:tcPr>
          <w:p w14:paraId="2FB62915" w14:textId="77777777" w:rsidR="00F371F7" w:rsidRPr="00617370" w:rsidRDefault="00F371F7">
            <w:pPr>
              <w:pStyle w:val="Tabletext"/>
              <w:cnfStyle w:val="000000000000" w:firstRow="0" w:lastRow="0" w:firstColumn="0" w:lastColumn="0" w:oddVBand="0" w:evenVBand="0" w:oddHBand="0" w:evenHBand="0" w:firstRowFirstColumn="0" w:firstRowLastColumn="0" w:lastRowFirstColumn="0" w:lastRowLastColumn="0"/>
            </w:pPr>
          </w:p>
        </w:tc>
        <w:tc>
          <w:tcPr>
            <w:tcW w:w="1042" w:type="dxa"/>
            <w:tcBorders>
              <w:top w:val="single" w:sz="4" w:space="0" w:color="auto"/>
              <w:bottom w:val="nil"/>
              <w:right w:val="single" w:sz="4" w:space="0" w:color="auto"/>
            </w:tcBorders>
            <w:shd w:val="clear" w:color="auto" w:fill="auto"/>
            <w:noWrap/>
            <w:hideMark/>
          </w:tcPr>
          <w:p w14:paraId="7A52CFC9" w14:textId="77777777" w:rsidR="00F371F7" w:rsidRPr="00617370" w:rsidRDefault="00F371F7">
            <w:pPr>
              <w:pStyle w:val="Tabletext"/>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left w:val="single" w:sz="4" w:space="0" w:color="auto"/>
              <w:bottom w:val="nil"/>
            </w:tcBorders>
            <w:shd w:val="clear" w:color="auto" w:fill="auto"/>
            <w:noWrap/>
            <w:hideMark/>
          </w:tcPr>
          <w:p w14:paraId="55FA44F5" w14:textId="77777777" w:rsidR="00F371F7" w:rsidRPr="00617370" w:rsidRDefault="00F371F7">
            <w:pPr>
              <w:pStyle w:val="Tabletext"/>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bottom w:val="nil"/>
            </w:tcBorders>
            <w:shd w:val="clear" w:color="auto" w:fill="auto"/>
            <w:noWrap/>
            <w:hideMark/>
          </w:tcPr>
          <w:p w14:paraId="7D345D6A" w14:textId="77777777" w:rsidR="00F371F7" w:rsidRPr="00617370" w:rsidRDefault="00F371F7">
            <w:pPr>
              <w:pStyle w:val="Tabletext"/>
              <w:cnfStyle w:val="000000000000" w:firstRow="0" w:lastRow="0" w:firstColumn="0" w:lastColumn="0" w:oddVBand="0" w:evenVBand="0" w:oddHBand="0" w:evenHBand="0" w:firstRowFirstColumn="0" w:firstRowLastColumn="0" w:lastRowFirstColumn="0" w:lastRowLastColumn="0"/>
            </w:pPr>
          </w:p>
        </w:tc>
        <w:tc>
          <w:tcPr>
            <w:tcW w:w="1042" w:type="dxa"/>
            <w:tcBorders>
              <w:top w:val="single" w:sz="4" w:space="0" w:color="auto"/>
              <w:bottom w:val="nil"/>
            </w:tcBorders>
            <w:shd w:val="clear" w:color="auto" w:fill="auto"/>
            <w:noWrap/>
            <w:hideMark/>
          </w:tcPr>
          <w:p w14:paraId="5CF0B9B8" w14:textId="77777777" w:rsidR="00F371F7" w:rsidRPr="00617370" w:rsidRDefault="00F371F7">
            <w:pPr>
              <w:pStyle w:val="Tabletext"/>
              <w:cnfStyle w:val="000000000000" w:firstRow="0" w:lastRow="0" w:firstColumn="0" w:lastColumn="0" w:oddVBand="0" w:evenVBand="0" w:oddHBand="0" w:evenHBand="0" w:firstRowFirstColumn="0" w:firstRowLastColumn="0" w:lastRowFirstColumn="0" w:lastRowLastColumn="0"/>
            </w:pPr>
          </w:p>
        </w:tc>
      </w:tr>
      <w:tr w:rsidR="00515CFD" w:rsidRPr="00617370" w14:paraId="44E4BAF9" w14:textId="77777777" w:rsidTr="00595D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hideMark/>
          </w:tcPr>
          <w:p w14:paraId="35CFD612" w14:textId="77777777" w:rsidR="00515CFD" w:rsidRPr="00617370" w:rsidRDefault="00515CFD" w:rsidP="00515CFD">
            <w:pPr>
              <w:pStyle w:val="Tabletext"/>
              <w:rPr>
                <w:b w:val="0"/>
                <w:bCs/>
              </w:rPr>
            </w:pPr>
            <w:r w:rsidRPr="00617370">
              <w:t xml:space="preserve">     </w:t>
            </w:r>
            <w:r w:rsidRPr="00617370">
              <w:rPr>
                <w:b w:val="0"/>
                <w:bCs/>
              </w:rPr>
              <w:t>Female</w:t>
            </w:r>
          </w:p>
        </w:tc>
        <w:tc>
          <w:tcPr>
            <w:tcW w:w="1041" w:type="dxa"/>
            <w:tcBorders>
              <w:top w:val="nil"/>
              <w:bottom w:val="nil"/>
            </w:tcBorders>
            <w:shd w:val="clear" w:color="auto" w:fill="auto"/>
            <w:noWrap/>
            <w:hideMark/>
          </w:tcPr>
          <w:p w14:paraId="01542FDC" w14:textId="2C5D12E8"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1.84</w:t>
            </w:r>
          </w:p>
        </w:tc>
        <w:tc>
          <w:tcPr>
            <w:tcW w:w="1041" w:type="dxa"/>
            <w:tcBorders>
              <w:top w:val="nil"/>
              <w:bottom w:val="nil"/>
            </w:tcBorders>
            <w:shd w:val="clear" w:color="auto" w:fill="auto"/>
            <w:noWrap/>
            <w:hideMark/>
          </w:tcPr>
          <w:p w14:paraId="15BCAAB2" w14:textId="03BC5B21"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&lt;.0001</w:t>
            </w:r>
          </w:p>
        </w:tc>
        <w:tc>
          <w:tcPr>
            <w:tcW w:w="1042" w:type="dxa"/>
            <w:tcBorders>
              <w:top w:val="nil"/>
              <w:bottom w:val="nil"/>
              <w:right w:val="single" w:sz="4" w:space="0" w:color="auto"/>
            </w:tcBorders>
            <w:shd w:val="clear" w:color="auto" w:fill="auto"/>
            <w:noWrap/>
            <w:hideMark/>
          </w:tcPr>
          <w:p w14:paraId="01ED22BF" w14:textId="746DF000"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41" w:type="dxa"/>
            <w:tcBorders>
              <w:top w:val="nil"/>
              <w:left w:val="single" w:sz="4" w:space="0" w:color="auto"/>
              <w:bottom w:val="nil"/>
            </w:tcBorders>
            <w:shd w:val="clear" w:color="auto" w:fill="auto"/>
            <w:noWrap/>
            <w:vAlign w:val="center"/>
            <w:hideMark/>
          </w:tcPr>
          <w:p w14:paraId="015A9B39"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1.81</w:t>
            </w:r>
          </w:p>
        </w:tc>
        <w:tc>
          <w:tcPr>
            <w:tcW w:w="1041" w:type="dxa"/>
            <w:tcBorders>
              <w:top w:val="nil"/>
              <w:bottom w:val="nil"/>
            </w:tcBorders>
            <w:shd w:val="clear" w:color="auto" w:fill="auto"/>
            <w:noWrap/>
            <w:hideMark/>
          </w:tcPr>
          <w:p w14:paraId="0C017A6B"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&lt;.0001</w:t>
            </w:r>
          </w:p>
        </w:tc>
        <w:tc>
          <w:tcPr>
            <w:tcW w:w="1042" w:type="dxa"/>
            <w:tcBorders>
              <w:top w:val="nil"/>
              <w:bottom w:val="nil"/>
            </w:tcBorders>
            <w:shd w:val="clear" w:color="auto" w:fill="auto"/>
            <w:noWrap/>
            <w:vAlign w:val="center"/>
            <w:hideMark/>
          </w:tcPr>
          <w:p w14:paraId="2FC21D24"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r>
      <w:tr w:rsidR="00515CFD" w:rsidRPr="00617370" w14:paraId="43DF543B" w14:textId="77777777" w:rsidTr="00595D13">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noWrap/>
            <w:hideMark/>
          </w:tcPr>
          <w:p w14:paraId="15E5C25E" w14:textId="77777777" w:rsidR="00515CFD" w:rsidRPr="00617370" w:rsidRDefault="00515CFD" w:rsidP="00515CFD">
            <w:pPr>
              <w:pStyle w:val="Tabletext"/>
              <w:rPr>
                <w:b w:val="0"/>
                <w:bCs/>
              </w:rPr>
            </w:pPr>
            <w:r w:rsidRPr="00617370">
              <w:rPr>
                <w:b w:val="0"/>
                <w:bCs/>
              </w:rPr>
              <w:t xml:space="preserve">     (reference: Male)</w:t>
            </w:r>
          </w:p>
        </w:tc>
        <w:tc>
          <w:tcPr>
            <w:tcW w:w="1041" w:type="dxa"/>
            <w:tcBorders>
              <w:top w:val="nil"/>
              <w:bottom w:val="single" w:sz="4" w:space="0" w:color="auto"/>
            </w:tcBorders>
            <w:noWrap/>
            <w:vAlign w:val="center"/>
            <w:hideMark/>
          </w:tcPr>
          <w:p w14:paraId="2A5E56CF"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bottom w:val="single" w:sz="4" w:space="0" w:color="auto"/>
            </w:tcBorders>
            <w:noWrap/>
            <w:hideMark/>
          </w:tcPr>
          <w:p w14:paraId="003501B2"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nil"/>
              <w:bottom w:val="single" w:sz="4" w:space="0" w:color="auto"/>
              <w:right w:val="single" w:sz="4" w:space="0" w:color="auto"/>
            </w:tcBorders>
            <w:noWrap/>
            <w:vAlign w:val="center"/>
            <w:hideMark/>
          </w:tcPr>
          <w:p w14:paraId="0C8EA983"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left w:val="single" w:sz="4" w:space="0" w:color="auto"/>
              <w:bottom w:val="single" w:sz="4" w:space="0" w:color="auto"/>
            </w:tcBorders>
            <w:noWrap/>
            <w:vAlign w:val="center"/>
            <w:hideMark/>
          </w:tcPr>
          <w:p w14:paraId="5809C1A2"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bottom w:val="single" w:sz="4" w:space="0" w:color="auto"/>
            </w:tcBorders>
            <w:noWrap/>
            <w:hideMark/>
          </w:tcPr>
          <w:p w14:paraId="0956512B"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nil"/>
              <w:bottom w:val="single" w:sz="4" w:space="0" w:color="auto"/>
            </w:tcBorders>
            <w:noWrap/>
            <w:vAlign w:val="center"/>
            <w:hideMark/>
          </w:tcPr>
          <w:p w14:paraId="4F748356"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6641C15D" w14:textId="77777777" w:rsidTr="00C61D9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il"/>
            </w:tcBorders>
            <w:shd w:val="clear" w:color="auto" w:fill="auto"/>
            <w:noWrap/>
            <w:hideMark/>
          </w:tcPr>
          <w:p w14:paraId="69AF3B0A" w14:textId="77777777" w:rsidR="00515CFD" w:rsidRPr="00617370" w:rsidRDefault="00515CFD" w:rsidP="00515CFD">
            <w:pPr>
              <w:pStyle w:val="Tabletext"/>
              <w:rPr>
                <w:bCs/>
              </w:rPr>
            </w:pPr>
            <w:r w:rsidRPr="00617370">
              <w:rPr>
                <w:bCs/>
              </w:rPr>
              <w:t>Indigenous status</w:t>
            </w:r>
          </w:p>
        </w:tc>
        <w:tc>
          <w:tcPr>
            <w:tcW w:w="1041" w:type="dxa"/>
            <w:tcBorders>
              <w:top w:val="single" w:sz="4" w:space="0" w:color="auto"/>
              <w:bottom w:val="nil"/>
            </w:tcBorders>
            <w:shd w:val="clear" w:color="auto" w:fill="auto"/>
            <w:noWrap/>
            <w:vAlign w:val="center"/>
          </w:tcPr>
          <w:p w14:paraId="0278E626"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single" w:sz="4" w:space="0" w:color="auto"/>
              <w:bottom w:val="nil"/>
            </w:tcBorders>
            <w:shd w:val="clear" w:color="auto" w:fill="auto"/>
            <w:noWrap/>
          </w:tcPr>
          <w:p w14:paraId="7321E86A"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2" w:type="dxa"/>
            <w:tcBorders>
              <w:top w:val="single" w:sz="4" w:space="0" w:color="auto"/>
              <w:bottom w:val="nil"/>
              <w:right w:val="single" w:sz="4" w:space="0" w:color="auto"/>
            </w:tcBorders>
            <w:shd w:val="clear" w:color="auto" w:fill="auto"/>
            <w:noWrap/>
            <w:vAlign w:val="center"/>
          </w:tcPr>
          <w:p w14:paraId="76DE1594"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single" w:sz="4" w:space="0" w:color="auto"/>
              <w:left w:val="single" w:sz="4" w:space="0" w:color="auto"/>
              <w:bottom w:val="nil"/>
            </w:tcBorders>
            <w:noWrap/>
            <w:vAlign w:val="center"/>
          </w:tcPr>
          <w:p w14:paraId="40EED543"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single" w:sz="4" w:space="0" w:color="auto"/>
              <w:bottom w:val="nil"/>
            </w:tcBorders>
            <w:noWrap/>
          </w:tcPr>
          <w:p w14:paraId="257846FB"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2" w:type="dxa"/>
            <w:tcBorders>
              <w:top w:val="single" w:sz="4" w:space="0" w:color="auto"/>
              <w:bottom w:val="nil"/>
            </w:tcBorders>
            <w:noWrap/>
            <w:vAlign w:val="center"/>
          </w:tcPr>
          <w:p w14:paraId="1247C448"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15CFD" w:rsidRPr="00617370" w14:paraId="06C2ACDB" w14:textId="77777777" w:rsidTr="00595D13">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noWrap/>
          </w:tcPr>
          <w:p w14:paraId="03A40A5E" w14:textId="77777777" w:rsidR="00515CFD" w:rsidRPr="00617370" w:rsidRDefault="00515CFD" w:rsidP="00515CFD">
            <w:pPr>
              <w:pStyle w:val="Tabletext"/>
              <w:rPr>
                <w:b w:val="0"/>
                <w:bCs/>
              </w:rPr>
            </w:pPr>
            <w:r w:rsidRPr="00617370">
              <w:rPr>
                <w:b w:val="0"/>
                <w:bCs/>
              </w:rPr>
              <w:t xml:space="preserve">     Indigenous</w:t>
            </w:r>
          </w:p>
        </w:tc>
        <w:tc>
          <w:tcPr>
            <w:tcW w:w="1041" w:type="dxa"/>
            <w:tcBorders>
              <w:top w:val="nil"/>
              <w:bottom w:val="nil"/>
            </w:tcBorders>
            <w:shd w:val="clear" w:color="auto" w:fill="auto"/>
            <w:noWrap/>
          </w:tcPr>
          <w:p w14:paraId="472E7C1C" w14:textId="7F49A3EA"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0.58</w:t>
            </w:r>
          </w:p>
        </w:tc>
        <w:tc>
          <w:tcPr>
            <w:tcW w:w="1041" w:type="dxa"/>
            <w:tcBorders>
              <w:top w:val="nil"/>
              <w:bottom w:val="nil"/>
            </w:tcBorders>
            <w:shd w:val="clear" w:color="auto" w:fill="auto"/>
            <w:noWrap/>
          </w:tcPr>
          <w:p w14:paraId="5D5C0E58" w14:textId="0661D22A"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0.004</w:t>
            </w:r>
          </w:p>
        </w:tc>
        <w:tc>
          <w:tcPr>
            <w:tcW w:w="1042" w:type="dxa"/>
            <w:tcBorders>
              <w:top w:val="nil"/>
              <w:bottom w:val="nil"/>
              <w:right w:val="single" w:sz="4" w:space="0" w:color="auto"/>
            </w:tcBorders>
            <w:shd w:val="clear" w:color="auto" w:fill="auto"/>
            <w:noWrap/>
          </w:tcPr>
          <w:p w14:paraId="2F9F2D72" w14:textId="28E66523"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41" w:type="dxa"/>
            <w:tcBorders>
              <w:top w:val="nil"/>
              <w:left w:val="single" w:sz="4" w:space="0" w:color="auto"/>
              <w:bottom w:val="nil"/>
            </w:tcBorders>
            <w:shd w:val="clear" w:color="auto" w:fill="auto"/>
            <w:noWrap/>
            <w:vAlign w:val="center"/>
          </w:tcPr>
          <w:p w14:paraId="089F4256"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0.62</w:t>
            </w:r>
          </w:p>
        </w:tc>
        <w:tc>
          <w:tcPr>
            <w:tcW w:w="1041" w:type="dxa"/>
            <w:tcBorders>
              <w:top w:val="nil"/>
              <w:bottom w:val="nil"/>
            </w:tcBorders>
            <w:shd w:val="clear" w:color="auto" w:fill="auto"/>
            <w:noWrap/>
          </w:tcPr>
          <w:p w14:paraId="60C0A180"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0.158</w:t>
            </w:r>
          </w:p>
        </w:tc>
        <w:tc>
          <w:tcPr>
            <w:tcW w:w="1042" w:type="dxa"/>
            <w:tcBorders>
              <w:top w:val="nil"/>
              <w:bottom w:val="nil"/>
            </w:tcBorders>
            <w:shd w:val="clear" w:color="auto" w:fill="auto"/>
            <w:noWrap/>
            <w:vAlign w:val="center"/>
          </w:tcPr>
          <w:p w14:paraId="5900978C"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5F917296" w14:textId="77777777" w:rsidTr="00C61D9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noWrap/>
            <w:hideMark/>
          </w:tcPr>
          <w:p w14:paraId="756DFC9C" w14:textId="77777777" w:rsidR="00515CFD" w:rsidRPr="00617370" w:rsidRDefault="00515CFD" w:rsidP="00515CFD">
            <w:pPr>
              <w:pStyle w:val="Tabletext"/>
              <w:rPr>
                <w:b w:val="0"/>
                <w:bCs/>
              </w:rPr>
            </w:pPr>
            <w:r w:rsidRPr="00617370">
              <w:rPr>
                <w:b w:val="0"/>
                <w:bCs/>
              </w:rPr>
              <w:t xml:space="preserve">     (reference: Non-Indigenous)</w:t>
            </w:r>
          </w:p>
        </w:tc>
        <w:tc>
          <w:tcPr>
            <w:tcW w:w="1041" w:type="dxa"/>
            <w:tcBorders>
              <w:top w:val="nil"/>
              <w:bottom w:val="single" w:sz="4" w:space="0" w:color="auto"/>
            </w:tcBorders>
            <w:shd w:val="clear" w:color="auto" w:fill="auto"/>
            <w:noWrap/>
            <w:vAlign w:val="center"/>
            <w:hideMark/>
          </w:tcPr>
          <w:p w14:paraId="1780EF93"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nil"/>
              <w:bottom w:val="single" w:sz="4" w:space="0" w:color="auto"/>
            </w:tcBorders>
            <w:shd w:val="clear" w:color="auto" w:fill="auto"/>
            <w:noWrap/>
            <w:hideMark/>
          </w:tcPr>
          <w:p w14:paraId="48739A77"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2" w:type="dxa"/>
            <w:tcBorders>
              <w:top w:val="nil"/>
              <w:bottom w:val="single" w:sz="4" w:space="0" w:color="auto"/>
              <w:right w:val="single" w:sz="4" w:space="0" w:color="auto"/>
            </w:tcBorders>
            <w:shd w:val="clear" w:color="auto" w:fill="auto"/>
            <w:noWrap/>
            <w:vAlign w:val="center"/>
            <w:hideMark/>
          </w:tcPr>
          <w:p w14:paraId="15F9ACB0"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nil"/>
              <w:left w:val="single" w:sz="4" w:space="0" w:color="auto"/>
              <w:bottom w:val="single" w:sz="4" w:space="0" w:color="auto"/>
            </w:tcBorders>
            <w:shd w:val="clear" w:color="auto" w:fill="auto"/>
            <w:noWrap/>
            <w:vAlign w:val="center"/>
            <w:hideMark/>
          </w:tcPr>
          <w:p w14:paraId="26628D2B"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nil"/>
              <w:bottom w:val="single" w:sz="4" w:space="0" w:color="auto"/>
            </w:tcBorders>
            <w:shd w:val="clear" w:color="auto" w:fill="auto"/>
            <w:noWrap/>
            <w:hideMark/>
          </w:tcPr>
          <w:p w14:paraId="2DCE6B10"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2" w:type="dxa"/>
            <w:tcBorders>
              <w:top w:val="nil"/>
              <w:bottom w:val="single" w:sz="4" w:space="0" w:color="auto"/>
            </w:tcBorders>
            <w:shd w:val="clear" w:color="auto" w:fill="auto"/>
            <w:noWrap/>
            <w:vAlign w:val="center"/>
            <w:hideMark/>
          </w:tcPr>
          <w:p w14:paraId="62EE0061"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4524C427" w14:textId="77777777" w:rsidTr="00C61D9A">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il"/>
            </w:tcBorders>
            <w:noWrap/>
            <w:hideMark/>
          </w:tcPr>
          <w:p w14:paraId="69E5CD2A" w14:textId="77777777" w:rsidR="00515CFD" w:rsidRPr="00617370" w:rsidRDefault="00515CFD" w:rsidP="00515CFD">
            <w:pPr>
              <w:pStyle w:val="Tabletext"/>
              <w:rPr>
                <w:bCs/>
              </w:rPr>
            </w:pPr>
            <w:r w:rsidRPr="00617370">
              <w:rPr>
                <w:bCs/>
              </w:rPr>
              <w:t>Language spoken at home</w:t>
            </w:r>
          </w:p>
        </w:tc>
        <w:tc>
          <w:tcPr>
            <w:tcW w:w="1041" w:type="dxa"/>
            <w:tcBorders>
              <w:top w:val="single" w:sz="4" w:space="0" w:color="auto"/>
              <w:bottom w:val="nil"/>
            </w:tcBorders>
            <w:shd w:val="clear" w:color="auto" w:fill="auto"/>
            <w:noWrap/>
            <w:vAlign w:val="center"/>
          </w:tcPr>
          <w:p w14:paraId="2FFCBAF2"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bottom w:val="nil"/>
            </w:tcBorders>
            <w:shd w:val="clear" w:color="auto" w:fill="auto"/>
            <w:noWrap/>
          </w:tcPr>
          <w:p w14:paraId="0D9CA4F8"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single" w:sz="4" w:space="0" w:color="auto"/>
              <w:bottom w:val="nil"/>
              <w:right w:val="single" w:sz="4" w:space="0" w:color="auto"/>
            </w:tcBorders>
            <w:shd w:val="clear" w:color="auto" w:fill="auto"/>
            <w:noWrap/>
            <w:vAlign w:val="center"/>
          </w:tcPr>
          <w:p w14:paraId="4D716368"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left w:val="single" w:sz="4" w:space="0" w:color="auto"/>
              <w:bottom w:val="nil"/>
            </w:tcBorders>
            <w:shd w:val="clear" w:color="auto" w:fill="auto"/>
            <w:noWrap/>
            <w:vAlign w:val="center"/>
          </w:tcPr>
          <w:p w14:paraId="11FF7828"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bottom w:val="nil"/>
            </w:tcBorders>
            <w:shd w:val="clear" w:color="auto" w:fill="auto"/>
            <w:noWrap/>
          </w:tcPr>
          <w:p w14:paraId="10B1552D"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single" w:sz="4" w:space="0" w:color="auto"/>
              <w:bottom w:val="nil"/>
            </w:tcBorders>
            <w:shd w:val="clear" w:color="auto" w:fill="auto"/>
            <w:noWrap/>
            <w:vAlign w:val="center"/>
          </w:tcPr>
          <w:p w14:paraId="7E1D4D20"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15CFD" w:rsidRPr="00617370" w14:paraId="44D27329" w14:textId="77777777" w:rsidTr="00595D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noWrap/>
          </w:tcPr>
          <w:p w14:paraId="2E85EC01" w14:textId="77777777" w:rsidR="00515CFD" w:rsidRPr="00617370" w:rsidRDefault="00515CFD" w:rsidP="00515CFD">
            <w:pPr>
              <w:pStyle w:val="Tabletext"/>
              <w:rPr>
                <w:b w:val="0"/>
                <w:bCs/>
              </w:rPr>
            </w:pPr>
            <w:r w:rsidRPr="00617370">
              <w:rPr>
                <w:b w:val="0"/>
                <w:bCs/>
              </w:rPr>
              <w:t xml:space="preserve">     Language other than English</w:t>
            </w:r>
          </w:p>
        </w:tc>
        <w:tc>
          <w:tcPr>
            <w:tcW w:w="1041" w:type="dxa"/>
            <w:tcBorders>
              <w:top w:val="nil"/>
              <w:bottom w:val="nil"/>
            </w:tcBorders>
            <w:shd w:val="clear" w:color="auto" w:fill="auto"/>
            <w:noWrap/>
          </w:tcPr>
          <w:p w14:paraId="62BBA20D" w14:textId="3008E64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2.00</w:t>
            </w:r>
          </w:p>
        </w:tc>
        <w:tc>
          <w:tcPr>
            <w:tcW w:w="1041" w:type="dxa"/>
            <w:tcBorders>
              <w:top w:val="nil"/>
              <w:bottom w:val="nil"/>
            </w:tcBorders>
            <w:shd w:val="clear" w:color="auto" w:fill="auto"/>
            <w:noWrap/>
          </w:tcPr>
          <w:p w14:paraId="5344B5B2" w14:textId="5000AECD"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0.0128</w:t>
            </w:r>
          </w:p>
        </w:tc>
        <w:tc>
          <w:tcPr>
            <w:tcW w:w="1042" w:type="dxa"/>
            <w:tcBorders>
              <w:top w:val="nil"/>
              <w:bottom w:val="nil"/>
              <w:right w:val="single" w:sz="4" w:space="0" w:color="auto"/>
            </w:tcBorders>
            <w:shd w:val="clear" w:color="auto" w:fill="auto"/>
            <w:noWrap/>
          </w:tcPr>
          <w:p w14:paraId="0DFB59DD" w14:textId="453ED4C0"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41" w:type="dxa"/>
            <w:tcBorders>
              <w:top w:val="nil"/>
              <w:left w:val="single" w:sz="4" w:space="0" w:color="auto"/>
              <w:bottom w:val="nil"/>
            </w:tcBorders>
            <w:shd w:val="clear" w:color="auto" w:fill="auto"/>
            <w:noWrap/>
            <w:vAlign w:val="center"/>
          </w:tcPr>
          <w:p w14:paraId="7EB331D9"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1.18</w:t>
            </w:r>
          </w:p>
        </w:tc>
        <w:tc>
          <w:tcPr>
            <w:tcW w:w="1041" w:type="dxa"/>
            <w:tcBorders>
              <w:top w:val="nil"/>
              <w:bottom w:val="nil"/>
            </w:tcBorders>
            <w:shd w:val="clear" w:color="auto" w:fill="auto"/>
            <w:noWrap/>
          </w:tcPr>
          <w:p w14:paraId="3B8C455F"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0.535</w:t>
            </w:r>
          </w:p>
        </w:tc>
        <w:tc>
          <w:tcPr>
            <w:tcW w:w="1042" w:type="dxa"/>
            <w:tcBorders>
              <w:top w:val="nil"/>
              <w:bottom w:val="nil"/>
            </w:tcBorders>
            <w:shd w:val="clear" w:color="auto" w:fill="auto"/>
            <w:noWrap/>
            <w:vAlign w:val="center"/>
          </w:tcPr>
          <w:p w14:paraId="0F4E2AF3"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0CDA29D0" w14:textId="77777777" w:rsidTr="00C61D9A">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noWrap/>
            <w:hideMark/>
          </w:tcPr>
          <w:p w14:paraId="5898BF4A" w14:textId="77777777" w:rsidR="00515CFD" w:rsidRPr="00617370" w:rsidRDefault="00515CFD" w:rsidP="00515CFD">
            <w:pPr>
              <w:pStyle w:val="Tabletext"/>
              <w:rPr>
                <w:b w:val="0"/>
                <w:bCs/>
              </w:rPr>
            </w:pPr>
            <w:r w:rsidRPr="00617370">
              <w:rPr>
                <w:b w:val="0"/>
                <w:bCs/>
              </w:rPr>
              <w:t xml:space="preserve">     (reference: English)</w:t>
            </w:r>
          </w:p>
        </w:tc>
        <w:tc>
          <w:tcPr>
            <w:tcW w:w="1041" w:type="dxa"/>
            <w:tcBorders>
              <w:top w:val="nil"/>
              <w:bottom w:val="single" w:sz="4" w:space="0" w:color="auto"/>
            </w:tcBorders>
            <w:shd w:val="clear" w:color="auto" w:fill="auto"/>
            <w:noWrap/>
            <w:vAlign w:val="center"/>
            <w:hideMark/>
          </w:tcPr>
          <w:p w14:paraId="76EF5A16"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bottom w:val="single" w:sz="4" w:space="0" w:color="auto"/>
            </w:tcBorders>
            <w:shd w:val="clear" w:color="auto" w:fill="auto"/>
            <w:noWrap/>
            <w:hideMark/>
          </w:tcPr>
          <w:p w14:paraId="576006E3"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nil"/>
              <w:bottom w:val="single" w:sz="4" w:space="0" w:color="auto"/>
              <w:right w:val="single" w:sz="4" w:space="0" w:color="auto"/>
            </w:tcBorders>
            <w:shd w:val="clear" w:color="auto" w:fill="auto"/>
            <w:noWrap/>
            <w:vAlign w:val="center"/>
            <w:hideMark/>
          </w:tcPr>
          <w:p w14:paraId="19F506E9"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left w:val="single" w:sz="4" w:space="0" w:color="auto"/>
              <w:bottom w:val="single" w:sz="4" w:space="0" w:color="auto"/>
            </w:tcBorders>
            <w:shd w:val="clear" w:color="auto" w:fill="auto"/>
            <w:noWrap/>
            <w:vAlign w:val="center"/>
            <w:hideMark/>
          </w:tcPr>
          <w:p w14:paraId="6816E751"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bottom w:val="single" w:sz="4" w:space="0" w:color="auto"/>
            </w:tcBorders>
            <w:shd w:val="clear" w:color="auto" w:fill="auto"/>
            <w:noWrap/>
            <w:hideMark/>
          </w:tcPr>
          <w:p w14:paraId="51B503FD"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nil"/>
              <w:bottom w:val="single" w:sz="4" w:space="0" w:color="auto"/>
            </w:tcBorders>
            <w:shd w:val="clear" w:color="auto" w:fill="auto"/>
            <w:noWrap/>
            <w:vAlign w:val="center"/>
            <w:hideMark/>
          </w:tcPr>
          <w:p w14:paraId="2866DA87"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44E5BF00" w14:textId="77777777" w:rsidTr="00C61D9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il"/>
            </w:tcBorders>
            <w:shd w:val="clear" w:color="auto" w:fill="auto"/>
            <w:noWrap/>
            <w:hideMark/>
          </w:tcPr>
          <w:p w14:paraId="2882CFF4" w14:textId="3FC5DEDE" w:rsidR="00F371F7" w:rsidRPr="00617370" w:rsidRDefault="00F371F7">
            <w:pPr>
              <w:pStyle w:val="Tabletext"/>
              <w:rPr>
                <w:bCs/>
              </w:rPr>
            </w:pPr>
            <w:r w:rsidRPr="00617370">
              <w:rPr>
                <w:bCs/>
              </w:rPr>
              <w:t>Socioeconomic status (quintiles)</w:t>
            </w:r>
          </w:p>
        </w:tc>
        <w:tc>
          <w:tcPr>
            <w:tcW w:w="1041" w:type="dxa"/>
            <w:tcBorders>
              <w:top w:val="single" w:sz="4" w:space="0" w:color="auto"/>
              <w:bottom w:val="nil"/>
            </w:tcBorders>
            <w:shd w:val="clear" w:color="auto" w:fill="auto"/>
            <w:noWrap/>
            <w:vAlign w:val="center"/>
            <w:hideMark/>
          </w:tcPr>
          <w:p w14:paraId="3D7090BE"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single" w:sz="4" w:space="0" w:color="auto"/>
              <w:bottom w:val="nil"/>
            </w:tcBorders>
            <w:shd w:val="clear" w:color="auto" w:fill="auto"/>
            <w:noWrap/>
            <w:hideMark/>
          </w:tcPr>
          <w:p w14:paraId="226D9F58"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2" w:type="dxa"/>
            <w:tcBorders>
              <w:top w:val="single" w:sz="4" w:space="0" w:color="auto"/>
              <w:bottom w:val="nil"/>
              <w:right w:val="single" w:sz="4" w:space="0" w:color="auto"/>
            </w:tcBorders>
            <w:shd w:val="clear" w:color="auto" w:fill="auto"/>
            <w:noWrap/>
            <w:vAlign w:val="center"/>
            <w:hideMark/>
          </w:tcPr>
          <w:p w14:paraId="6286B009"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single" w:sz="4" w:space="0" w:color="auto"/>
              <w:left w:val="single" w:sz="4" w:space="0" w:color="auto"/>
              <w:bottom w:val="nil"/>
            </w:tcBorders>
            <w:shd w:val="clear" w:color="auto" w:fill="auto"/>
            <w:noWrap/>
            <w:vAlign w:val="center"/>
            <w:hideMark/>
          </w:tcPr>
          <w:p w14:paraId="641C2488"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single" w:sz="4" w:space="0" w:color="auto"/>
              <w:bottom w:val="nil"/>
            </w:tcBorders>
            <w:shd w:val="clear" w:color="auto" w:fill="auto"/>
            <w:noWrap/>
            <w:hideMark/>
          </w:tcPr>
          <w:p w14:paraId="26B25863"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2" w:type="dxa"/>
            <w:tcBorders>
              <w:top w:val="single" w:sz="4" w:space="0" w:color="auto"/>
              <w:bottom w:val="nil"/>
            </w:tcBorders>
            <w:shd w:val="clear" w:color="auto" w:fill="auto"/>
            <w:noWrap/>
            <w:vAlign w:val="center"/>
            <w:hideMark/>
          </w:tcPr>
          <w:p w14:paraId="22F5A5C8"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r>
      <w:tr w:rsidR="00515CFD" w:rsidRPr="00617370" w14:paraId="452B53A1" w14:textId="77777777" w:rsidTr="00595D13">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hideMark/>
          </w:tcPr>
          <w:p w14:paraId="3CDD3892" w14:textId="1A1A3370" w:rsidR="00515CFD" w:rsidRPr="00617370" w:rsidRDefault="00515CFD" w:rsidP="00515CFD">
            <w:pPr>
              <w:pStyle w:val="Tabletext"/>
              <w:rPr>
                <w:b w:val="0"/>
                <w:bCs/>
              </w:rPr>
            </w:pPr>
            <w:r w:rsidRPr="00617370">
              <w:rPr>
                <w:b w:val="0"/>
                <w:bCs/>
              </w:rPr>
              <w:t xml:space="preserve">     Second quintile</w:t>
            </w:r>
          </w:p>
        </w:tc>
        <w:tc>
          <w:tcPr>
            <w:tcW w:w="1041" w:type="dxa"/>
            <w:tcBorders>
              <w:top w:val="nil"/>
              <w:bottom w:val="nil"/>
            </w:tcBorders>
            <w:shd w:val="clear" w:color="auto" w:fill="auto"/>
            <w:noWrap/>
            <w:hideMark/>
          </w:tcPr>
          <w:p w14:paraId="0DCFFD27" w14:textId="4DD2B725"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1.67</w:t>
            </w:r>
          </w:p>
        </w:tc>
        <w:tc>
          <w:tcPr>
            <w:tcW w:w="1041" w:type="dxa"/>
            <w:tcBorders>
              <w:top w:val="nil"/>
              <w:bottom w:val="nil"/>
            </w:tcBorders>
            <w:shd w:val="clear" w:color="auto" w:fill="auto"/>
            <w:noWrap/>
            <w:hideMark/>
          </w:tcPr>
          <w:p w14:paraId="7F2F78E9" w14:textId="62E8FDF4"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0.083</w:t>
            </w:r>
          </w:p>
        </w:tc>
        <w:tc>
          <w:tcPr>
            <w:tcW w:w="1042" w:type="dxa"/>
            <w:tcBorders>
              <w:top w:val="nil"/>
              <w:bottom w:val="nil"/>
              <w:right w:val="single" w:sz="4" w:space="0" w:color="auto"/>
            </w:tcBorders>
            <w:shd w:val="clear" w:color="auto" w:fill="auto"/>
            <w:noWrap/>
            <w:hideMark/>
          </w:tcPr>
          <w:p w14:paraId="5B3E883E" w14:textId="1F635A2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left w:val="single" w:sz="4" w:space="0" w:color="auto"/>
              <w:bottom w:val="nil"/>
            </w:tcBorders>
            <w:shd w:val="clear" w:color="auto" w:fill="auto"/>
            <w:noWrap/>
            <w:vAlign w:val="center"/>
            <w:hideMark/>
          </w:tcPr>
          <w:p w14:paraId="08FD8745" w14:textId="7E5CE3D3"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0.99</w:t>
            </w:r>
          </w:p>
        </w:tc>
        <w:tc>
          <w:tcPr>
            <w:tcW w:w="1041" w:type="dxa"/>
            <w:tcBorders>
              <w:top w:val="nil"/>
              <w:bottom w:val="nil"/>
            </w:tcBorders>
            <w:shd w:val="clear" w:color="auto" w:fill="auto"/>
            <w:noWrap/>
            <w:hideMark/>
          </w:tcPr>
          <w:p w14:paraId="013B2641" w14:textId="4C9CFFAD"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0.859</w:t>
            </w:r>
          </w:p>
        </w:tc>
        <w:tc>
          <w:tcPr>
            <w:tcW w:w="1042" w:type="dxa"/>
            <w:tcBorders>
              <w:top w:val="nil"/>
              <w:bottom w:val="nil"/>
            </w:tcBorders>
            <w:shd w:val="clear" w:color="auto" w:fill="auto"/>
            <w:noWrap/>
            <w:vAlign w:val="center"/>
            <w:hideMark/>
          </w:tcPr>
          <w:p w14:paraId="55374A54"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15CFD" w:rsidRPr="00617370" w14:paraId="1CF2F375" w14:textId="77777777" w:rsidTr="00595D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tcPr>
          <w:p w14:paraId="2A3427FF" w14:textId="3E096A96" w:rsidR="00515CFD" w:rsidRPr="00617370" w:rsidRDefault="00515CFD" w:rsidP="00515CFD">
            <w:pPr>
              <w:pStyle w:val="Tabletext"/>
              <w:rPr>
                <w:b w:val="0"/>
                <w:bCs/>
              </w:rPr>
            </w:pPr>
            <w:r w:rsidRPr="00617370">
              <w:rPr>
                <w:b w:val="0"/>
                <w:bCs/>
              </w:rPr>
              <w:t xml:space="preserve">     Third quintile</w:t>
            </w:r>
          </w:p>
        </w:tc>
        <w:tc>
          <w:tcPr>
            <w:tcW w:w="1041" w:type="dxa"/>
            <w:tcBorders>
              <w:top w:val="nil"/>
              <w:bottom w:val="nil"/>
            </w:tcBorders>
            <w:shd w:val="clear" w:color="auto" w:fill="auto"/>
            <w:noWrap/>
          </w:tcPr>
          <w:p w14:paraId="2DEF39AE" w14:textId="55B2B7B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1.41</w:t>
            </w:r>
          </w:p>
        </w:tc>
        <w:tc>
          <w:tcPr>
            <w:tcW w:w="1041" w:type="dxa"/>
            <w:tcBorders>
              <w:top w:val="nil"/>
              <w:bottom w:val="nil"/>
            </w:tcBorders>
            <w:shd w:val="clear" w:color="auto" w:fill="auto"/>
            <w:noWrap/>
          </w:tcPr>
          <w:p w14:paraId="4D848C18" w14:textId="39CCD2F5"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0.4449</w:t>
            </w:r>
          </w:p>
        </w:tc>
        <w:tc>
          <w:tcPr>
            <w:tcW w:w="1042" w:type="dxa"/>
            <w:tcBorders>
              <w:top w:val="nil"/>
              <w:bottom w:val="nil"/>
              <w:right w:val="single" w:sz="4" w:space="0" w:color="auto"/>
            </w:tcBorders>
            <w:shd w:val="clear" w:color="auto" w:fill="auto"/>
            <w:noWrap/>
          </w:tcPr>
          <w:p w14:paraId="70FF6449" w14:textId="01C5D48E"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nil"/>
              <w:left w:val="single" w:sz="4" w:space="0" w:color="auto"/>
              <w:bottom w:val="nil"/>
            </w:tcBorders>
            <w:shd w:val="clear" w:color="auto" w:fill="auto"/>
            <w:noWrap/>
            <w:vAlign w:val="center"/>
          </w:tcPr>
          <w:p w14:paraId="10B7301F" w14:textId="6D137FD0"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1.19</w:t>
            </w:r>
          </w:p>
        </w:tc>
        <w:tc>
          <w:tcPr>
            <w:tcW w:w="1041" w:type="dxa"/>
            <w:tcBorders>
              <w:top w:val="nil"/>
              <w:bottom w:val="nil"/>
            </w:tcBorders>
            <w:shd w:val="clear" w:color="auto" w:fill="auto"/>
            <w:noWrap/>
          </w:tcPr>
          <w:p w14:paraId="5EBDC271" w14:textId="201B2FD2"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0.965</w:t>
            </w:r>
          </w:p>
        </w:tc>
        <w:tc>
          <w:tcPr>
            <w:tcW w:w="1042" w:type="dxa"/>
            <w:tcBorders>
              <w:top w:val="nil"/>
              <w:bottom w:val="nil"/>
            </w:tcBorders>
            <w:shd w:val="clear" w:color="auto" w:fill="auto"/>
            <w:noWrap/>
            <w:vAlign w:val="center"/>
            <w:hideMark/>
          </w:tcPr>
          <w:p w14:paraId="30D95732"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15CFD" w:rsidRPr="00617370" w14:paraId="4C64D2D7" w14:textId="77777777" w:rsidTr="00595D13">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tcPr>
          <w:p w14:paraId="2F727E43" w14:textId="4E065C70" w:rsidR="00515CFD" w:rsidRPr="00617370" w:rsidRDefault="00515CFD" w:rsidP="00515CFD">
            <w:pPr>
              <w:pStyle w:val="Tabletext"/>
              <w:rPr>
                <w:b w:val="0"/>
                <w:bCs/>
              </w:rPr>
            </w:pPr>
            <w:r w:rsidRPr="00617370">
              <w:rPr>
                <w:b w:val="0"/>
                <w:bCs/>
              </w:rPr>
              <w:t xml:space="preserve">     Fourth quintile</w:t>
            </w:r>
          </w:p>
        </w:tc>
        <w:tc>
          <w:tcPr>
            <w:tcW w:w="1041" w:type="dxa"/>
            <w:tcBorders>
              <w:top w:val="nil"/>
              <w:bottom w:val="nil"/>
            </w:tcBorders>
            <w:shd w:val="clear" w:color="auto" w:fill="auto"/>
            <w:noWrap/>
          </w:tcPr>
          <w:p w14:paraId="56629100" w14:textId="1CCC19A8"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3.65</w:t>
            </w:r>
          </w:p>
        </w:tc>
        <w:tc>
          <w:tcPr>
            <w:tcW w:w="1041" w:type="dxa"/>
            <w:tcBorders>
              <w:top w:val="nil"/>
              <w:bottom w:val="nil"/>
            </w:tcBorders>
            <w:shd w:val="clear" w:color="auto" w:fill="auto"/>
            <w:noWrap/>
          </w:tcPr>
          <w:p w14:paraId="1E61A3D7" w14:textId="0B94AE59"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0.0218</w:t>
            </w:r>
          </w:p>
        </w:tc>
        <w:tc>
          <w:tcPr>
            <w:tcW w:w="1042" w:type="dxa"/>
            <w:tcBorders>
              <w:top w:val="nil"/>
              <w:bottom w:val="nil"/>
              <w:right w:val="single" w:sz="4" w:space="0" w:color="auto"/>
            </w:tcBorders>
            <w:shd w:val="clear" w:color="auto" w:fill="auto"/>
            <w:noWrap/>
          </w:tcPr>
          <w:p w14:paraId="22D725BB" w14:textId="7DE2089C"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41" w:type="dxa"/>
            <w:tcBorders>
              <w:top w:val="nil"/>
              <w:left w:val="single" w:sz="4" w:space="0" w:color="auto"/>
              <w:bottom w:val="nil"/>
            </w:tcBorders>
            <w:shd w:val="clear" w:color="auto" w:fill="auto"/>
            <w:noWrap/>
            <w:vAlign w:val="center"/>
          </w:tcPr>
          <w:p w14:paraId="32CF3A5F" w14:textId="31FB8ED6"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1.33</w:t>
            </w:r>
          </w:p>
        </w:tc>
        <w:tc>
          <w:tcPr>
            <w:tcW w:w="1041" w:type="dxa"/>
            <w:tcBorders>
              <w:top w:val="nil"/>
              <w:bottom w:val="nil"/>
            </w:tcBorders>
            <w:shd w:val="clear" w:color="auto" w:fill="auto"/>
            <w:noWrap/>
          </w:tcPr>
          <w:p w14:paraId="52FF1445" w14:textId="1AA37F69"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0.767</w:t>
            </w:r>
          </w:p>
        </w:tc>
        <w:tc>
          <w:tcPr>
            <w:tcW w:w="1042" w:type="dxa"/>
            <w:tcBorders>
              <w:top w:val="nil"/>
              <w:bottom w:val="nil"/>
            </w:tcBorders>
            <w:shd w:val="clear" w:color="auto" w:fill="auto"/>
            <w:noWrap/>
            <w:vAlign w:val="center"/>
            <w:hideMark/>
          </w:tcPr>
          <w:p w14:paraId="1EB97907"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15CFD" w:rsidRPr="00617370" w14:paraId="5C47181A" w14:textId="77777777" w:rsidTr="00595D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tcPr>
          <w:p w14:paraId="52F95F04" w14:textId="0D5BA68E" w:rsidR="00515CFD" w:rsidRPr="00617370" w:rsidRDefault="00515CFD" w:rsidP="00515CFD">
            <w:pPr>
              <w:pStyle w:val="Tabletext"/>
              <w:rPr>
                <w:b w:val="0"/>
                <w:bCs/>
              </w:rPr>
            </w:pPr>
            <w:r w:rsidRPr="00617370">
              <w:rPr>
                <w:b w:val="0"/>
                <w:bCs/>
              </w:rPr>
              <w:t xml:space="preserve">     Highest quintile</w:t>
            </w:r>
          </w:p>
        </w:tc>
        <w:tc>
          <w:tcPr>
            <w:tcW w:w="1041" w:type="dxa"/>
            <w:tcBorders>
              <w:top w:val="nil"/>
              <w:bottom w:val="nil"/>
            </w:tcBorders>
            <w:shd w:val="clear" w:color="auto" w:fill="auto"/>
            <w:noWrap/>
          </w:tcPr>
          <w:p w14:paraId="43BEFF49" w14:textId="0D5E7B9B"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5.64</w:t>
            </w:r>
          </w:p>
        </w:tc>
        <w:tc>
          <w:tcPr>
            <w:tcW w:w="1041" w:type="dxa"/>
            <w:tcBorders>
              <w:top w:val="nil"/>
              <w:bottom w:val="nil"/>
            </w:tcBorders>
            <w:shd w:val="clear" w:color="auto" w:fill="auto"/>
            <w:noWrap/>
          </w:tcPr>
          <w:p w14:paraId="11545D67" w14:textId="52FEAA32"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0.0495</w:t>
            </w:r>
          </w:p>
        </w:tc>
        <w:tc>
          <w:tcPr>
            <w:tcW w:w="1042" w:type="dxa"/>
            <w:tcBorders>
              <w:top w:val="nil"/>
              <w:bottom w:val="nil"/>
              <w:right w:val="single" w:sz="4" w:space="0" w:color="auto"/>
            </w:tcBorders>
            <w:shd w:val="clear" w:color="auto" w:fill="auto"/>
            <w:noWrap/>
          </w:tcPr>
          <w:p w14:paraId="6C8FEFA3" w14:textId="7D940064"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41" w:type="dxa"/>
            <w:tcBorders>
              <w:top w:val="nil"/>
              <w:left w:val="single" w:sz="4" w:space="0" w:color="auto"/>
              <w:bottom w:val="nil"/>
            </w:tcBorders>
            <w:shd w:val="clear" w:color="auto" w:fill="auto"/>
            <w:noWrap/>
            <w:vAlign w:val="center"/>
          </w:tcPr>
          <w:p w14:paraId="68E93B65" w14:textId="4E94C3A9"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2.23</w:t>
            </w:r>
          </w:p>
        </w:tc>
        <w:tc>
          <w:tcPr>
            <w:tcW w:w="1041" w:type="dxa"/>
            <w:tcBorders>
              <w:top w:val="nil"/>
              <w:bottom w:val="nil"/>
            </w:tcBorders>
            <w:shd w:val="clear" w:color="auto" w:fill="auto"/>
            <w:noWrap/>
          </w:tcPr>
          <w:p w14:paraId="56988335" w14:textId="3C231252"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0.901</w:t>
            </w:r>
          </w:p>
        </w:tc>
        <w:tc>
          <w:tcPr>
            <w:tcW w:w="1042" w:type="dxa"/>
            <w:tcBorders>
              <w:top w:val="nil"/>
              <w:bottom w:val="nil"/>
            </w:tcBorders>
            <w:shd w:val="clear" w:color="auto" w:fill="auto"/>
            <w:noWrap/>
            <w:vAlign w:val="center"/>
            <w:hideMark/>
          </w:tcPr>
          <w:p w14:paraId="33EE6936"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06A7ABD7" w14:textId="77777777" w:rsidTr="00C61D9A">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shd w:val="clear" w:color="auto" w:fill="auto"/>
            <w:noWrap/>
          </w:tcPr>
          <w:p w14:paraId="2E749555" w14:textId="70496395" w:rsidR="00515CFD" w:rsidRPr="00617370" w:rsidRDefault="00515CFD" w:rsidP="00515CFD">
            <w:pPr>
              <w:pStyle w:val="Tabletext"/>
              <w:rPr>
                <w:b w:val="0"/>
                <w:bCs/>
              </w:rPr>
            </w:pPr>
            <w:r w:rsidRPr="00617370">
              <w:rPr>
                <w:b w:val="0"/>
                <w:bCs/>
              </w:rPr>
              <w:t xml:space="preserve">     (reference: Lowest quintile)</w:t>
            </w:r>
          </w:p>
        </w:tc>
        <w:tc>
          <w:tcPr>
            <w:tcW w:w="1041" w:type="dxa"/>
            <w:tcBorders>
              <w:top w:val="nil"/>
              <w:bottom w:val="single" w:sz="4" w:space="0" w:color="auto"/>
            </w:tcBorders>
            <w:shd w:val="clear" w:color="auto" w:fill="auto"/>
            <w:noWrap/>
            <w:vAlign w:val="center"/>
          </w:tcPr>
          <w:p w14:paraId="4991A955" w14:textId="738324F4"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bottom w:val="single" w:sz="4" w:space="0" w:color="auto"/>
            </w:tcBorders>
            <w:shd w:val="clear" w:color="auto" w:fill="auto"/>
            <w:noWrap/>
          </w:tcPr>
          <w:p w14:paraId="7419F858" w14:textId="5BAC13DE"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nil"/>
              <w:bottom w:val="single" w:sz="4" w:space="0" w:color="auto"/>
              <w:right w:val="single" w:sz="4" w:space="0" w:color="auto"/>
            </w:tcBorders>
            <w:shd w:val="clear" w:color="auto" w:fill="auto"/>
            <w:noWrap/>
            <w:vAlign w:val="center"/>
          </w:tcPr>
          <w:p w14:paraId="23593956" w14:textId="75F88FA8"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left w:val="single" w:sz="4" w:space="0" w:color="auto"/>
              <w:bottom w:val="single" w:sz="4" w:space="0" w:color="auto"/>
            </w:tcBorders>
            <w:shd w:val="clear" w:color="auto" w:fill="auto"/>
            <w:noWrap/>
            <w:vAlign w:val="center"/>
          </w:tcPr>
          <w:p w14:paraId="30F96B57" w14:textId="31F097B4"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bottom w:val="single" w:sz="4" w:space="0" w:color="auto"/>
            </w:tcBorders>
            <w:shd w:val="clear" w:color="auto" w:fill="auto"/>
            <w:noWrap/>
          </w:tcPr>
          <w:p w14:paraId="6B97ACF0" w14:textId="771D1662"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nil"/>
              <w:bottom w:val="single" w:sz="4" w:space="0" w:color="auto"/>
            </w:tcBorders>
            <w:shd w:val="clear" w:color="auto" w:fill="auto"/>
            <w:noWrap/>
            <w:vAlign w:val="center"/>
            <w:hideMark/>
          </w:tcPr>
          <w:p w14:paraId="34D26634"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22F05EA2" w14:textId="77777777" w:rsidTr="00C61D9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shd w:val="clear" w:color="auto" w:fill="auto"/>
            <w:noWrap/>
            <w:vAlign w:val="center"/>
            <w:hideMark/>
          </w:tcPr>
          <w:p w14:paraId="69780D80" w14:textId="2B9BAA85" w:rsidR="00515CFD" w:rsidRPr="00617370" w:rsidRDefault="00515CFD" w:rsidP="00515CFD">
            <w:pPr>
              <w:pStyle w:val="Tabletext"/>
              <w:jc w:val="left"/>
            </w:pPr>
            <w:r w:rsidRPr="00617370">
              <w:rPr>
                <w:bCs/>
              </w:rPr>
              <w:t>NAPLAN achievement scores</w:t>
            </w:r>
            <w:r w:rsidRPr="00617370">
              <w:t xml:space="preserve"> </w:t>
            </w:r>
            <w:r w:rsidRPr="00617370">
              <w:rPr>
                <w:b w:val="0"/>
                <w:bCs/>
              </w:rPr>
              <w:t xml:space="preserve">(assessed at 50 above the mean score </w:t>
            </w:r>
            <w:r w:rsidRPr="00617370">
              <w:rPr>
                <w:b w:val="0"/>
              </w:rPr>
              <w:t>at the lowest SES quintile)</w:t>
            </w:r>
          </w:p>
        </w:tc>
        <w:tc>
          <w:tcPr>
            <w:tcW w:w="1041" w:type="dxa"/>
            <w:tcBorders>
              <w:top w:val="single" w:sz="4" w:space="0" w:color="auto"/>
              <w:bottom w:val="single" w:sz="4" w:space="0" w:color="auto"/>
            </w:tcBorders>
            <w:shd w:val="clear" w:color="auto" w:fill="auto"/>
            <w:noWrap/>
            <w:vAlign w:val="center"/>
            <w:hideMark/>
          </w:tcPr>
          <w:p w14:paraId="3DAAE2C2" w14:textId="1C9B7018"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1.47</w:t>
            </w:r>
          </w:p>
        </w:tc>
        <w:tc>
          <w:tcPr>
            <w:tcW w:w="1041" w:type="dxa"/>
            <w:tcBorders>
              <w:top w:val="single" w:sz="4" w:space="0" w:color="auto"/>
              <w:bottom w:val="single" w:sz="4" w:space="0" w:color="auto"/>
            </w:tcBorders>
            <w:shd w:val="clear" w:color="auto" w:fill="auto"/>
            <w:noWrap/>
            <w:vAlign w:val="center"/>
            <w:hideMark/>
          </w:tcPr>
          <w:p w14:paraId="5FC9FE99" w14:textId="24560C94"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&lt;.0001</w:t>
            </w:r>
          </w:p>
        </w:tc>
        <w:tc>
          <w:tcPr>
            <w:tcW w:w="1042" w:type="dxa"/>
            <w:tcBorders>
              <w:top w:val="single" w:sz="4" w:space="0" w:color="auto"/>
              <w:bottom w:val="single" w:sz="4" w:space="0" w:color="auto"/>
              <w:right w:val="single" w:sz="4" w:space="0" w:color="auto"/>
            </w:tcBorders>
            <w:shd w:val="clear" w:color="auto" w:fill="auto"/>
            <w:noWrap/>
            <w:vAlign w:val="center"/>
            <w:hideMark/>
          </w:tcPr>
          <w:p w14:paraId="6339106B" w14:textId="285F3081"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41" w:type="dxa"/>
            <w:tcBorders>
              <w:top w:val="single" w:sz="4" w:space="0" w:color="auto"/>
              <w:left w:val="single" w:sz="4" w:space="0" w:color="auto"/>
              <w:bottom w:val="single" w:sz="4" w:space="0" w:color="auto"/>
            </w:tcBorders>
            <w:shd w:val="clear" w:color="auto" w:fill="auto"/>
            <w:noWrap/>
            <w:vAlign w:val="center"/>
            <w:hideMark/>
          </w:tcPr>
          <w:p w14:paraId="1F37B4BC"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1.79</w:t>
            </w:r>
          </w:p>
        </w:tc>
        <w:tc>
          <w:tcPr>
            <w:tcW w:w="1041" w:type="dxa"/>
            <w:tcBorders>
              <w:top w:val="single" w:sz="4" w:space="0" w:color="auto"/>
              <w:bottom w:val="single" w:sz="4" w:space="0" w:color="auto"/>
            </w:tcBorders>
            <w:shd w:val="clear" w:color="auto" w:fill="auto"/>
            <w:noWrap/>
            <w:vAlign w:val="center"/>
            <w:hideMark/>
          </w:tcPr>
          <w:p w14:paraId="371D5E4C"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0.000</w:t>
            </w:r>
          </w:p>
        </w:tc>
        <w:tc>
          <w:tcPr>
            <w:tcW w:w="1042" w:type="dxa"/>
            <w:tcBorders>
              <w:top w:val="single" w:sz="4" w:space="0" w:color="auto"/>
              <w:bottom w:val="single" w:sz="4" w:space="0" w:color="auto"/>
            </w:tcBorders>
            <w:shd w:val="clear" w:color="auto" w:fill="auto"/>
            <w:noWrap/>
            <w:vAlign w:val="center"/>
            <w:hideMark/>
          </w:tcPr>
          <w:p w14:paraId="7CB766D1"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r>
      <w:tr w:rsidR="00595D13" w:rsidRPr="00617370" w14:paraId="1E072754" w14:textId="77777777" w:rsidTr="00C61D9A">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il"/>
            </w:tcBorders>
            <w:shd w:val="clear" w:color="auto" w:fill="auto"/>
            <w:noWrap/>
            <w:hideMark/>
          </w:tcPr>
          <w:p w14:paraId="7A6B2651" w14:textId="50C3B0E8" w:rsidR="00BB7D78" w:rsidRPr="00617370" w:rsidRDefault="00BB7D78" w:rsidP="000E6906">
            <w:pPr>
              <w:pStyle w:val="Tabletext"/>
              <w:jc w:val="left"/>
              <w:rPr>
                <w:bCs/>
              </w:rPr>
            </w:pPr>
            <w:r w:rsidRPr="00617370">
              <w:rPr>
                <w:bCs/>
              </w:rPr>
              <w:t>NAPLAN achievement scores</w:t>
            </w:r>
            <w:r w:rsidR="00C61D9A" w:rsidRPr="00617370">
              <w:rPr>
                <w:bCs/>
              </w:rPr>
              <w:t xml:space="preserve"> x </w:t>
            </w:r>
            <w:r w:rsidRPr="00617370">
              <w:rPr>
                <w:bCs/>
              </w:rPr>
              <w:t xml:space="preserve">SES </w:t>
            </w:r>
            <w:r w:rsidRPr="00617370">
              <w:rPr>
                <w:b w:val="0"/>
              </w:rPr>
              <w:t>(assessed at 50 above the mean score</w:t>
            </w:r>
            <w:r w:rsidR="00F15498" w:rsidRPr="00617370">
              <w:rPr>
                <w:b w:val="0"/>
              </w:rPr>
              <w:t>, reference: lowest quintile</w:t>
            </w:r>
            <w:r w:rsidRPr="00617370">
              <w:rPr>
                <w:b w:val="0"/>
              </w:rPr>
              <w:t>)</w:t>
            </w:r>
          </w:p>
        </w:tc>
        <w:tc>
          <w:tcPr>
            <w:tcW w:w="1041" w:type="dxa"/>
            <w:tcBorders>
              <w:top w:val="single" w:sz="4" w:space="0" w:color="auto"/>
              <w:bottom w:val="nil"/>
            </w:tcBorders>
            <w:shd w:val="clear" w:color="auto" w:fill="auto"/>
            <w:noWrap/>
            <w:vAlign w:val="center"/>
            <w:hideMark/>
          </w:tcPr>
          <w:p w14:paraId="7BA9FDD7"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bottom w:val="nil"/>
            </w:tcBorders>
            <w:shd w:val="clear" w:color="auto" w:fill="auto"/>
            <w:noWrap/>
            <w:hideMark/>
          </w:tcPr>
          <w:p w14:paraId="437C0A3B"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single" w:sz="4" w:space="0" w:color="auto"/>
              <w:bottom w:val="nil"/>
              <w:right w:val="single" w:sz="4" w:space="0" w:color="auto"/>
            </w:tcBorders>
            <w:shd w:val="clear" w:color="auto" w:fill="auto"/>
            <w:noWrap/>
            <w:vAlign w:val="center"/>
            <w:hideMark/>
          </w:tcPr>
          <w:p w14:paraId="08A14D48"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left w:val="single" w:sz="4" w:space="0" w:color="auto"/>
              <w:bottom w:val="nil"/>
            </w:tcBorders>
            <w:shd w:val="clear" w:color="auto" w:fill="auto"/>
            <w:noWrap/>
            <w:vAlign w:val="center"/>
            <w:hideMark/>
          </w:tcPr>
          <w:p w14:paraId="2F1E8073"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single" w:sz="4" w:space="0" w:color="auto"/>
              <w:bottom w:val="nil"/>
            </w:tcBorders>
            <w:shd w:val="clear" w:color="auto" w:fill="auto"/>
            <w:noWrap/>
            <w:hideMark/>
          </w:tcPr>
          <w:p w14:paraId="40328595"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2" w:type="dxa"/>
            <w:tcBorders>
              <w:top w:val="single" w:sz="4" w:space="0" w:color="auto"/>
              <w:bottom w:val="nil"/>
            </w:tcBorders>
            <w:shd w:val="clear" w:color="auto" w:fill="auto"/>
            <w:noWrap/>
            <w:vAlign w:val="center"/>
            <w:hideMark/>
          </w:tcPr>
          <w:p w14:paraId="6D3B7BBE"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r>
      <w:tr w:rsidR="00515CFD" w:rsidRPr="00617370" w14:paraId="035AE841" w14:textId="77777777" w:rsidTr="00595D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hideMark/>
          </w:tcPr>
          <w:p w14:paraId="137C8C5F" w14:textId="77777777" w:rsidR="00515CFD" w:rsidRPr="00617370" w:rsidRDefault="00515CFD" w:rsidP="00515CFD">
            <w:pPr>
              <w:pStyle w:val="Tabletext"/>
              <w:rPr>
                <w:b w:val="0"/>
                <w:bCs/>
              </w:rPr>
            </w:pPr>
            <w:r w:rsidRPr="00617370">
              <w:rPr>
                <w:b w:val="0"/>
                <w:bCs/>
              </w:rPr>
              <w:t xml:space="preserve">     Second quintile</w:t>
            </w:r>
          </w:p>
        </w:tc>
        <w:tc>
          <w:tcPr>
            <w:tcW w:w="1041" w:type="dxa"/>
            <w:tcBorders>
              <w:top w:val="nil"/>
              <w:bottom w:val="nil"/>
            </w:tcBorders>
            <w:shd w:val="clear" w:color="auto" w:fill="auto"/>
            <w:noWrap/>
            <w:hideMark/>
          </w:tcPr>
          <w:p w14:paraId="2C21DD99" w14:textId="032DA835" w:rsidR="00515CFD" w:rsidRPr="00617370" w:rsidRDefault="00123F30"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1.21</w:t>
            </w:r>
          </w:p>
        </w:tc>
        <w:tc>
          <w:tcPr>
            <w:tcW w:w="1041" w:type="dxa"/>
            <w:tcBorders>
              <w:top w:val="nil"/>
              <w:bottom w:val="nil"/>
            </w:tcBorders>
            <w:shd w:val="clear" w:color="auto" w:fill="auto"/>
            <w:noWrap/>
            <w:hideMark/>
          </w:tcPr>
          <w:p w14:paraId="2A3EFC31" w14:textId="2C8B7904"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0.0724</w:t>
            </w:r>
          </w:p>
        </w:tc>
        <w:tc>
          <w:tcPr>
            <w:tcW w:w="1042" w:type="dxa"/>
            <w:tcBorders>
              <w:top w:val="nil"/>
              <w:bottom w:val="nil"/>
              <w:right w:val="single" w:sz="4" w:space="0" w:color="auto"/>
            </w:tcBorders>
            <w:shd w:val="clear" w:color="auto" w:fill="auto"/>
            <w:noWrap/>
            <w:hideMark/>
          </w:tcPr>
          <w:p w14:paraId="4D5DB3D3" w14:textId="7DAE594E"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c>
          <w:tcPr>
            <w:tcW w:w="1041" w:type="dxa"/>
            <w:tcBorders>
              <w:top w:val="nil"/>
              <w:left w:val="single" w:sz="4" w:space="0" w:color="auto"/>
              <w:bottom w:val="nil"/>
            </w:tcBorders>
            <w:shd w:val="clear" w:color="auto" w:fill="auto"/>
            <w:noWrap/>
            <w:vAlign w:val="center"/>
            <w:hideMark/>
          </w:tcPr>
          <w:p w14:paraId="1EC87F32" w14:textId="0B17F28C" w:rsidR="00515CFD" w:rsidRPr="00617370" w:rsidRDefault="00123F30"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0.97</w:t>
            </w:r>
          </w:p>
        </w:tc>
        <w:tc>
          <w:tcPr>
            <w:tcW w:w="1041" w:type="dxa"/>
            <w:tcBorders>
              <w:top w:val="nil"/>
              <w:bottom w:val="nil"/>
            </w:tcBorders>
            <w:shd w:val="clear" w:color="auto" w:fill="auto"/>
            <w:noWrap/>
            <w:hideMark/>
          </w:tcPr>
          <w:p w14:paraId="0CC456F7"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0.853</w:t>
            </w:r>
          </w:p>
        </w:tc>
        <w:tc>
          <w:tcPr>
            <w:tcW w:w="1042" w:type="dxa"/>
            <w:tcBorders>
              <w:top w:val="nil"/>
              <w:bottom w:val="nil"/>
            </w:tcBorders>
            <w:shd w:val="clear" w:color="auto" w:fill="auto"/>
            <w:noWrap/>
            <w:vAlign w:val="center"/>
            <w:hideMark/>
          </w:tcPr>
          <w:p w14:paraId="6349053D"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15CFD" w:rsidRPr="00617370" w14:paraId="33D2B17B" w14:textId="77777777" w:rsidTr="00595D13">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hideMark/>
          </w:tcPr>
          <w:p w14:paraId="518CB917" w14:textId="77777777" w:rsidR="00515CFD" w:rsidRPr="00617370" w:rsidRDefault="00515CFD" w:rsidP="00515CFD">
            <w:pPr>
              <w:pStyle w:val="Tabletext"/>
              <w:rPr>
                <w:b w:val="0"/>
                <w:bCs/>
              </w:rPr>
            </w:pPr>
            <w:r w:rsidRPr="00617370">
              <w:rPr>
                <w:b w:val="0"/>
                <w:bCs/>
              </w:rPr>
              <w:t xml:space="preserve">     Third quintile</w:t>
            </w:r>
          </w:p>
        </w:tc>
        <w:tc>
          <w:tcPr>
            <w:tcW w:w="1041" w:type="dxa"/>
            <w:tcBorders>
              <w:top w:val="nil"/>
              <w:bottom w:val="nil"/>
            </w:tcBorders>
            <w:shd w:val="clear" w:color="auto" w:fill="auto"/>
            <w:noWrap/>
            <w:hideMark/>
          </w:tcPr>
          <w:p w14:paraId="1EA57908" w14:textId="30ADB94B" w:rsidR="00515CFD" w:rsidRPr="00617370" w:rsidRDefault="00123F30"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1.09</w:t>
            </w:r>
          </w:p>
        </w:tc>
        <w:tc>
          <w:tcPr>
            <w:tcW w:w="1041" w:type="dxa"/>
            <w:tcBorders>
              <w:top w:val="nil"/>
              <w:bottom w:val="nil"/>
            </w:tcBorders>
            <w:shd w:val="clear" w:color="auto" w:fill="auto"/>
            <w:noWrap/>
            <w:hideMark/>
          </w:tcPr>
          <w:p w14:paraId="4D20DAEF" w14:textId="4D7232E9"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0.3942</w:t>
            </w:r>
          </w:p>
        </w:tc>
        <w:tc>
          <w:tcPr>
            <w:tcW w:w="1042" w:type="dxa"/>
            <w:tcBorders>
              <w:top w:val="nil"/>
              <w:bottom w:val="nil"/>
              <w:right w:val="single" w:sz="4" w:space="0" w:color="auto"/>
            </w:tcBorders>
            <w:shd w:val="clear" w:color="auto" w:fill="auto"/>
            <w:noWrap/>
            <w:hideMark/>
          </w:tcPr>
          <w:p w14:paraId="007BD10E" w14:textId="3117F1A2"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c>
          <w:tcPr>
            <w:tcW w:w="1041" w:type="dxa"/>
            <w:tcBorders>
              <w:top w:val="nil"/>
              <w:left w:val="single" w:sz="4" w:space="0" w:color="auto"/>
              <w:bottom w:val="nil"/>
            </w:tcBorders>
            <w:shd w:val="clear" w:color="auto" w:fill="auto"/>
            <w:noWrap/>
            <w:vAlign w:val="center"/>
            <w:hideMark/>
          </w:tcPr>
          <w:p w14:paraId="290FAB7A" w14:textId="4A72EF29" w:rsidR="00515CFD" w:rsidRPr="00617370" w:rsidRDefault="00123F30"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1.02</w:t>
            </w:r>
          </w:p>
        </w:tc>
        <w:tc>
          <w:tcPr>
            <w:tcW w:w="1041" w:type="dxa"/>
            <w:tcBorders>
              <w:top w:val="nil"/>
              <w:bottom w:val="nil"/>
            </w:tcBorders>
            <w:shd w:val="clear" w:color="auto" w:fill="auto"/>
            <w:noWrap/>
            <w:hideMark/>
          </w:tcPr>
          <w:p w14:paraId="5932334C"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0.934</w:t>
            </w:r>
          </w:p>
        </w:tc>
        <w:tc>
          <w:tcPr>
            <w:tcW w:w="1042" w:type="dxa"/>
            <w:tcBorders>
              <w:top w:val="nil"/>
              <w:bottom w:val="nil"/>
            </w:tcBorders>
            <w:shd w:val="clear" w:color="auto" w:fill="auto"/>
            <w:noWrap/>
            <w:vAlign w:val="center"/>
            <w:hideMark/>
          </w:tcPr>
          <w:p w14:paraId="75E6D6FD"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15CFD" w:rsidRPr="00617370" w14:paraId="1DD02B78" w14:textId="77777777" w:rsidTr="00595D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noWrap/>
            <w:hideMark/>
          </w:tcPr>
          <w:p w14:paraId="34EF820B" w14:textId="77777777" w:rsidR="00515CFD" w:rsidRPr="00617370" w:rsidRDefault="00515CFD" w:rsidP="00515CFD">
            <w:pPr>
              <w:pStyle w:val="Tabletext"/>
              <w:rPr>
                <w:b w:val="0"/>
                <w:bCs/>
              </w:rPr>
            </w:pPr>
            <w:r w:rsidRPr="00617370">
              <w:rPr>
                <w:b w:val="0"/>
                <w:bCs/>
              </w:rPr>
              <w:t xml:space="preserve">     Fourth quintile</w:t>
            </w:r>
          </w:p>
        </w:tc>
        <w:tc>
          <w:tcPr>
            <w:tcW w:w="1041" w:type="dxa"/>
            <w:tcBorders>
              <w:top w:val="nil"/>
              <w:bottom w:val="nil"/>
            </w:tcBorders>
            <w:shd w:val="clear" w:color="auto" w:fill="auto"/>
            <w:noWrap/>
            <w:hideMark/>
          </w:tcPr>
          <w:p w14:paraId="635CA8F9" w14:textId="20E7515A" w:rsidR="00515CFD" w:rsidRPr="00617370" w:rsidRDefault="00123F30"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1.35</w:t>
            </w:r>
          </w:p>
        </w:tc>
        <w:tc>
          <w:tcPr>
            <w:tcW w:w="1041" w:type="dxa"/>
            <w:tcBorders>
              <w:top w:val="nil"/>
              <w:bottom w:val="nil"/>
            </w:tcBorders>
            <w:shd w:val="clear" w:color="auto" w:fill="auto"/>
            <w:noWrap/>
            <w:hideMark/>
          </w:tcPr>
          <w:p w14:paraId="74CB5582" w14:textId="19B81B61"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0.01</w:t>
            </w:r>
          </w:p>
        </w:tc>
        <w:tc>
          <w:tcPr>
            <w:tcW w:w="1042" w:type="dxa"/>
            <w:tcBorders>
              <w:top w:val="nil"/>
              <w:bottom w:val="nil"/>
              <w:right w:val="single" w:sz="4" w:space="0" w:color="auto"/>
            </w:tcBorders>
            <w:shd w:val="clear" w:color="auto" w:fill="auto"/>
            <w:noWrap/>
            <w:hideMark/>
          </w:tcPr>
          <w:p w14:paraId="379C6280" w14:textId="425452F0"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41" w:type="dxa"/>
            <w:tcBorders>
              <w:top w:val="nil"/>
              <w:left w:val="single" w:sz="4" w:space="0" w:color="auto"/>
              <w:bottom w:val="nil"/>
            </w:tcBorders>
            <w:shd w:val="clear" w:color="auto" w:fill="auto"/>
            <w:noWrap/>
            <w:vAlign w:val="center"/>
            <w:hideMark/>
          </w:tcPr>
          <w:p w14:paraId="057B8F29" w14:textId="3117E983"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1.</w:t>
            </w:r>
            <w:r w:rsidR="00123F30" w:rsidRPr="00617370">
              <w:t>07</w:t>
            </w:r>
          </w:p>
        </w:tc>
        <w:tc>
          <w:tcPr>
            <w:tcW w:w="1041" w:type="dxa"/>
            <w:tcBorders>
              <w:top w:val="nil"/>
              <w:bottom w:val="nil"/>
            </w:tcBorders>
            <w:shd w:val="clear" w:color="auto" w:fill="auto"/>
            <w:noWrap/>
            <w:hideMark/>
          </w:tcPr>
          <w:p w14:paraId="702FD662"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r w:rsidRPr="00617370">
              <w:t>0.710</w:t>
            </w:r>
          </w:p>
        </w:tc>
        <w:tc>
          <w:tcPr>
            <w:tcW w:w="1042" w:type="dxa"/>
            <w:tcBorders>
              <w:top w:val="nil"/>
              <w:bottom w:val="nil"/>
            </w:tcBorders>
            <w:shd w:val="clear" w:color="auto" w:fill="auto"/>
            <w:noWrap/>
            <w:vAlign w:val="center"/>
            <w:hideMark/>
          </w:tcPr>
          <w:p w14:paraId="76405A2B" w14:textId="77777777" w:rsidR="00515CFD" w:rsidRPr="00617370" w:rsidRDefault="00515CFD" w:rsidP="00515CFD">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4D99906D" w14:textId="77777777" w:rsidTr="00C61D9A">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shd w:val="clear" w:color="auto" w:fill="auto"/>
            <w:noWrap/>
            <w:hideMark/>
          </w:tcPr>
          <w:p w14:paraId="56205A35" w14:textId="77777777" w:rsidR="00515CFD" w:rsidRPr="00617370" w:rsidRDefault="00515CFD" w:rsidP="00515CFD">
            <w:pPr>
              <w:pStyle w:val="Tabletext"/>
              <w:rPr>
                <w:b w:val="0"/>
                <w:bCs/>
              </w:rPr>
            </w:pPr>
            <w:r w:rsidRPr="00617370">
              <w:rPr>
                <w:b w:val="0"/>
                <w:bCs/>
              </w:rPr>
              <w:t xml:space="preserve">     Highest quintile</w:t>
            </w:r>
          </w:p>
        </w:tc>
        <w:tc>
          <w:tcPr>
            <w:tcW w:w="1041" w:type="dxa"/>
            <w:tcBorders>
              <w:top w:val="nil"/>
              <w:bottom w:val="single" w:sz="4" w:space="0" w:color="auto"/>
            </w:tcBorders>
            <w:shd w:val="clear" w:color="auto" w:fill="auto"/>
            <w:noWrap/>
            <w:hideMark/>
          </w:tcPr>
          <w:p w14:paraId="32318543" w14:textId="10D83176" w:rsidR="00515CFD" w:rsidRPr="00617370" w:rsidRDefault="00123F30"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1.35</w:t>
            </w:r>
          </w:p>
        </w:tc>
        <w:tc>
          <w:tcPr>
            <w:tcW w:w="1041" w:type="dxa"/>
            <w:tcBorders>
              <w:top w:val="nil"/>
              <w:bottom w:val="single" w:sz="4" w:space="0" w:color="auto"/>
            </w:tcBorders>
            <w:shd w:val="clear" w:color="auto" w:fill="auto"/>
            <w:noWrap/>
            <w:hideMark/>
          </w:tcPr>
          <w:p w14:paraId="30D2254C" w14:textId="2904D708"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0.0167</w:t>
            </w:r>
          </w:p>
        </w:tc>
        <w:tc>
          <w:tcPr>
            <w:tcW w:w="1042" w:type="dxa"/>
            <w:tcBorders>
              <w:top w:val="nil"/>
              <w:bottom w:val="single" w:sz="4" w:space="0" w:color="auto"/>
              <w:right w:val="single" w:sz="4" w:space="0" w:color="auto"/>
            </w:tcBorders>
            <w:shd w:val="clear" w:color="auto" w:fill="auto"/>
            <w:noWrap/>
            <w:hideMark/>
          </w:tcPr>
          <w:p w14:paraId="08ED92CE" w14:textId="35CFF958"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41" w:type="dxa"/>
            <w:tcBorders>
              <w:top w:val="nil"/>
              <w:left w:val="single" w:sz="4" w:space="0" w:color="auto"/>
              <w:bottom w:val="single" w:sz="4" w:space="0" w:color="auto"/>
            </w:tcBorders>
            <w:shd w:val="clear" w:color="auto" w:fill="auto"/>
            <w:noWrap/>
            <w:vAlign w:val="center"/>
            <w:hideMark/>
          </w:tcPr>
          <w:p w14:paraId="1D25932C" w14:textId="04D9ADBF" w:rsidR="00515CFD" w:rsidRPr="00617370" w:rsidRDefault="00123F30"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1.01</w:t>
            </w:r>
          </w:p>
        </w:tc>
        <w:tc>
          <w:tcPr>
            <w:tcW w:w="1041" w:type="dxa"/>
            <w:tcBorders>
              <w:top w:val="nil"/>
              <w:bottom w:val="single" w:sz="4" w:space="0" w:color="auto"/>
            </w:tcBorders>
            <w:shd w:val="clear" w:color="auto" w:fill="auto"/>
            <w:noWrap/>
            <w:hideMark/>
          </w:tcPr>
          <w:p w14:paraId="458BCA83"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0.951</w:t>
            </w:r>
          </w:p>
        </w:tc>
        <w:tc>
          <w:tcPr>
            <w:tcW w:w="1042" w:type="dxa"/>
            <w:tcBorders>
              <w:top w:val="nil"/>
              <w:bottom w:val="single" w:sz="4" w:space="0" w:color="auto"/>
            </w:tcBorders>
            <w:shd w:val="clear" w:color="auto" w:fill="auto"/>
            <w:noWrap/>
            <w:vAlign w:val="center"/>
            <w:hideMark/>
          </w:tcPr>
          <w:p w14:paraId="1EE4E107" w14:textId="7777777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4E8940EE" w14:textId="77777777" w:rsidTr="00C61D9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shd w:val="clear" w:color="auto" w:fill="F2F2F2" w:themeFill="background1" w:themeFillShade="F2"/>
            <w:noWrap/>
            <w:vAlign w:val="center"/>
          </w:tcPr>
          <w:p w14:paraId="053C52AA" w14:textId="5E185A68" w:rsidR="00BB7D78" w:rsidRPr="00617370" w:rsidRDefault="00BB7D78" w:rsidP="00BB7D78">
            <w:pPr>
              <w:pStyle w:val="Tabletext"/>
              <w:rPr>
                <w:bCs/>
              </w:rPr>
            </w:pPr>
            <w:r w:rsidRPr="00617370">
              <w:t>Random effect</w:t>
            </w:r>
          </w:p>
        </w:tc>
        <w:tc>
          <w:tcPr>
            <w:tcW w:w="1041" w:type="dxa"/>
            <w:tcBorders>
              <w:top w:val="single" w:sz="4" w:space="0" w:color="auto"/>
              <w:bottom w:val="single" w:sz="4" w:space="0" w:color="auto"/>
            </w:tcBorders>
            <w:shd w:val="clear" w:color="auto" w:fill="F2F2F2" w:themeFill="background1" w:themeFillShade="F2"/>
            <w:noWrap/>
            <w:vAlign w:val="center"/>
          </w:tcPr>
          <w:p w14:paraId="763BED0A" w14:textId="6C9782A8" w:rsidR="00BB7D78" w:rsidRPr="00617370" w:rsidRDefault="00BB7D78" w:rsidP="008E5CEB">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Estimate</w:t>
            </w:r>
          </w:p>
        </w:tc>
        <w:tc>
          <w:tcPr>
            <w:tcW w:w="1041" w:type="dxa"/>
            <w:tcBorders>
              <w:top w:val="single" w:sz="4" w:space="0" w:color="auto"/>
              <w:bottom w:val="single" w:sz="4" w:space="0" w:color="auto"/>
            </w:tcBorders>
            <w:shd w:val="clear" w:color="auto" w:fill="F2F2F2" w:themeFill="background1" w:themeFillShade="F2"/>
            <w:noWrap/>
            <w:vAlign w:val="center"/>
          </w:tcPr>
          <w:p w14:paraId="74019C0E" w14:textId="0B7C5E52" w:rsidR="00BB7D78" w:rsidRPr="00617370" w:rsidRDefault="00BB7D78" w:rsidP="008E5CEB">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Pr &gt; ChiSq</w:t>
            </w:r>
          </w:p>
        </w:tc>
        <w:tc>
          <w:tcPr>
            <w:tcW w:w="1042" w:type="dxa"/>
            <w:tcBorders>
              <w:top w:val="single" w:sz="4" w:space="0" w:color="auto"/>
              <w:bottom w:val="single" w:sz="4" w:space="0" w:color="auto"/>
              <w:right w:val="single" w:sz="4" w:space="0" w:color="auto"/>
            </w:tcBorders>
            <w:shd w:val="clear" w:color="auto" w:fill="F2F2F2" w:themeFill="background1" w:themeFillShade="F2"/>
            <w:noWrap/>
            <w:vAlign w:val="center"/>
          </w:tcPr>
          <w:p w14:paraId="7CCCB600" w14:textId="3D3B29DC" w:rsidR="00BB7D78" w:rsidRPr="00617370" w:rsidRDefault="00BB7D78" w:rsidP="008E5CEB">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c>
          <w:tcPr>
            <w:tcW w:w="1041" w:type="dxa"/>
            <w:tcBorders>
              <w:top w:val="single" w:sz="4" w:space="0" w:color="auto"/>
              <w:left w:val="single" w:sz="4" w:space="0" w:color="auto"/>
              <w:bottom w:val="single" w:sz="4" w:space="0" w:color="auto"/>
            </w:tcBorders>
            <w:shd w:val="clear" w:color="auto" w:fill="F2F2F2" w:themeFill="background1" w:themeFillShade="F2"/>
            <w:noWrap/>
            <w:vAlign w:val="center"/>
          </w:tcPr>
          <w:p w14:paraId="546F1403" w14:textId="21C1ADFF" w:rsidR="00BB7D78" w:rsidRPr="00617370" w:rsidRDefault="00BB7D78" w:rsidP="008E5CEB">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Estimate</w:t>
            </w:r>
          </w:p>
        </w:tc>
        <w:tc>
          <w:tcPr>
            <w:tcW w:w="1041" w:type="dxa"/>
            <w:tcBorders>
              <w:top w:val="single" w:sz="4" w:space="0" w:color="auto"/>
              <w:bottom w:val="single" w:sz="4" w:space="0" w:color="auto"/>
            </w:tcBorders>
            <w:shd w:val="clear" w:color="auto" w:fill="F2F2F2" w:themeFill="background1" w:themeFillShade="F2"/>
            <w:noWrap/>
            <w:vAlign w:val="center"/>
          </w:tcPr>
          <w:p w14:paraId="445F943A" w14:textId="1E3CD7A5" w:rsidR="00BB7D78" w:rsidRPr="00617370" w:rsidRDefault="00BB7D78" w:rsidP="008E5CEB">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Pr &gt; ChiSq</w:t>
            </w:r>
          </w:p>
        </w:tc>
        <w:tc>
          <w:tcPr>
            <w:tcW w:w="1042" w:type="dxa"/>
            <w:tcBorders>
              <w:top w:val="single" w:sz="4" w:space="0" w:color="auto"/>
              <w:bottom w:val="single" w:sz="4" w:space="0" w:color="auto"/>
            </w:tcBorders>
            <w:shd w:val="clear" w:color="auto" w:fill="F2F2F2" w:themeFill="background1" w:themeFillShade="F2"/>
            <w:noWrap/>
            <w:vAlign w:val="center"/>
          </w:tcPr>
          <w:p w14:paraId="21C64672" w14:textId="1F299DC6" w:rsidR="00BB7D78" w:rsidRPr="00617370" w:rsidRDefault="00BB7D78" w:rsidP="008E5CEB">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r>
      <w:tr w:rsidR="00595D13" w:rsidRPr="00617370" w14:paraId="4FA6908C" w14:textId="77777777" w:rsidTr="00595D13">
        <w:trPr>
          <w:trHeigh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shd w:val="clear" w:color="auto" w:fill="auto"/>
            <w:noWrap/>
            <w:vAlign w:val="center"/>
          </w:tcPr>
          <w:p w14:paraId="0410F040" w14:textId="1A967DB0" w:rsidR="00515CFD" w:rsidRPr="00617370" w:rsidRDefault="00515CFD" w:rsidP="00515CFD">
            <w:pPr>
              <w:pStyle w:val="Tabletext"/>
              <w:rPr>
                <w:bCs/>
              </w:rPr>
            </w:pPr>
            <w:r w:rsidRPr="00617370">
              <w:t>School</w:t>
            </w:r>
          </w:p>
        </w:tc>
        <w:tc>
          <w:tcPr>
            <w:tcW w:w="1041" w:type="dxa"/>
            <w:tcBorders>
              <w:top w:val="single" w:sz="4" w:space="0" w:color="auto"/>
            </w:tcBorders>
            <w:shd w:val="clear" w:color="auto" w:fill="auto"/>
            <w:noWrap/>
          </w:tcPr>
          <w:p w14:paraId="18DD72C9" w14:textId="4AB87CDB"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0.48</w:t>
            </w:r>
          </w:p>
        </w:tc>
        <w:tc>
          <w:tcPr>
            <w:tcW w:w="1041" w:type="dxa"/>
            <w:tcBorders>
              <w:top w:val="single" w:sz="4" w:space="0" w:color="auto"/>
            </w:tcBorders>
            <w:shd w:val="clear" w:color="auto" w:fill="auto"/>
            <w:noWrap/>
          </w:tcPr>
          <w:p w14:paraId="028950F4" w14:textId="24103A83"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0.0004</w:t>
            </w:r>
          </w:p>
        </w:tc>
        <w:tc>
          <w:tcPr>
            <w:tcW w:w="1042" w:type="dxa"/>
            <w:tcBorders>
              <w:top w:val="single" w:sz="4" w:space="0" w:color="auto"/>
              <w:right w:val="single" w:sz="4" w:space="0" w:color="auto"/>
            </w:tcBorders>
            <w:shd w:val="clear" w:color="auto" w:fill="auto"/>
            <w:noWrap/>
          </w:tcPr>
          <w:p w14:paraId="68F36280" w14:textId="5984E917"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41" w:type="dxa"/>
            <w:tcBorders>
              <w:top w:val="single" w:sz="4" w:space="0" w:color="auto"/>
              <w:left w:val="single" w:sz="4" w:space="0" w:color="auto"/>
            </w:tcBorders>
            <w:shd w:val="clear" w:color="auto" w:fill="auto"/>
            <w:noWrap/>
            <w:vAlign w:val="center"/>
          </w:tcPr>
          <w:p w14:paraId="5C16BBBE" w14:textId="34905066"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0.5139</w:t>
            </w:r>
          </w:p>
        </w:tc>
        <w:tc>
          <w:tcPr>
            <w:tcW w:w="1041" w:type="dxa"/>
            <w:tcBorders>
              <w:top w:val="single" w:sz="4" w:space="0" w:color="auto"/>
            </w:tcBorders>
            <w:shd w:val="clear" w:color="auto" w:fill="auto"/>
            <w:noWrap/>
            <w:vAlign w:val="center"/>
          </w:tcPr>
          <w:p w14:paraId="6F2D4070" w14:textId="1F6936CB"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t>&lt;.0001</w:t>
            </w:r>
          </w:p>
        </w:tc>
        <w:tc>
          <w:tcPr>
            <w:tcW w:w="1042" w:type="dxa"/>
            <w:tcBorders>
              <w:top w:val="single" w:sz="4" w:space="0" w:color="auto"/>
            </w:tcBorders>
            <w:shd w:val="clear" w:color="auto" w:fill="auto"/>
            <w:noWrap/>
            <w:vAlign w:val="center"/>
          </w:tcPr>
          <w:p w14:paraId="360DEF6A" w14:textId="2267C624" w:rsidR="00515CFD" w:rsidRPr="00617370" w:rsidRDefault="00515CFD" w:rsidP="00515CFD">
            <w:pPr>
              <w:pStyle w:val="Tabletext"/>
              <w:jc w:val="center"/>
              <w:cnfStyle w:val="000000000000" w:firstRow="0" w:lastRow="0" w:firstColumn="0" w:lastColumn="0" w:oddVBand="0" w:evenVBand="0" w:oddHBand="0" w:evenHBand="0" w:firstRowFirstColumn="0" w:firstRowLastColumn="0" w:lastRowFirstColumn="0" w:lastRowLastColumn="0"/>
            </w:pPr>
            <w:r w:rsidRPr="00617370">
              <w:rPr>
                <w:b/>
              </w:rPr>
              <w:t>*</w:t>
            </w:r>
          </w:p>
        </w:tc>
      </w:tr>
    </w:tbl>
    <w:p w14:paraId="174678FF" w14:textId="72218876" w:rsidR="00F371F7" w:rsidRPr="00617370" w:rsidRDefault="00F371F7" w:rsidP="00F371F7">
      <w:pPr>
        <w:pStyle w:val="Source"/>
      </w:pPr>
      <w:r w:rsidRPr="00617370">
        <w:t xml:space="preserve">Note: </w:t>
      </w:r>
      <w:r w:rsidR="002F50B6" w:rsidRPr="00617370">
        <w:t xml:space="preserve">* </w:t>
      </w:r>
      <w:r w:rsidRPr="00617370">
        <w:t xml:space="preserve">indicates statistical significance at the 5% level, where the p-value </w:t>
      </w:r>
      <w:r w:rsidR="00123F30" w:rsidRPr="00617370">
        <w:t>≤</w:t>
      </w:r>
      <w:r w:rsidRPr="00617370">
        <w:t xml:space="preserve"> 0.05. </w:t>
      </w:r>
    </w:p>
    <w:p w14:paraId="059C887C" w14:textId="53B4AC37" w:rsidR="00F371F7" w:rsidRPr="00617370" w:rsidRDefault="00F371F7" w:rsidP="009708FB">
      <w:pPr>
        <w:pStyle w:val="Heading3"/>
        <w:spacing w:before="480"/>
      </w:pPr>
      <w:r w:rsidRPr="00617370">
        <w:t>ATAR recipients</w:t>
      </w:r>
    </w:p>
    <w:p w14:paraId="7AB6F7C3" w14:textId="655EC12C" w:rsidR="001E277D" w:rsidRPr="00617370" w:rsidRDefault="14EC4F30" w:rsidP="3E71FE18">
      <w:pPr>
        <w:pStyle w:val="Text"/>
        <w:spacing w:before="240" w:after="240"/>
        <w:rPr>
          <w:strike/>
          <w:spacing w:val="2"/>
        </w:rPr>
      </w:pPr>
      <w:bookmarkStart w:id="51" w:name="_Hlk163830801"/>
      <w:r w:rsidRPr="00617370">
        <w:rPr>
          <w:spacing w:val="2"/>
        </w:rPr>
        <w:t xml:space="preserve">The results from </w:t>
      </w:r>
      <w:r w:rsidR="00FD12B8" w:rsidRPr="00617370">
        <w:rPr>
          <w:spacing w:val="2"/>
        </w:rPr>
        <w:t>t</w:t>
      </w:r>
      <w:r w:rsidRPr="00617370">
        <w:rPr>
          <w:spacing w:val="2"/>
        </w:rPr>
        <w:t xml:space="preserve">able </w:t>
      </w:r>
      <w:r w:rsidR="00906194" w:rsidRPr="00617370">
        <w:rPr>
          <w:spacing w:val="2"/>
        </w:rPr>
        <w:t>3</w:t>
      </w:r>
      <w:r w:rsidR="22D524E0" w:rsidRPr="00617370">
        <w:rPr>
          <w:spacing w:val="2"/>
        </w:rPr>
        <w:t xml:space="preserve"> </w:t>
      </w:r>
      <w:r w:rsidRPr="00617370">
        <w:rPr>
          <w:spacing w:val="2"/>
        </w:rPr>
        <w:t xml:space="preserve">showed that </w:t>
      </w:r>
      <w:r w:rsidR="483EF321" w:rsidRPr="00617370">
        <w:rPr>
          <w:spacing w:val="2"/>
        </w:rPr>
        <w:t>gender, Indigenous status</w:t>
      </w:r>
      <w:r w:rsidR="009717D4" w:rsidRPr="00617370">
        <w:rPr>
          <w:spacing w:val="2"/>
        </w:rPr>
        <w:t>, language spoken at home</w:t>
      </w:r>
      <w:r w:rsidR="483EF321" w:rsidRPr="00617370">
        <w:rPr>
          <w:spacing w:val="2"/>
        </w:rPr>
        <w:t xml:space="preserve">, </w:t>
      </w:r>
      <w:r w:rsidR="00C10276" w:rsidRPr="00617370">
        <w:rPr>
          <w:spacing w:val="2"/>
        </w:rPr>
        <w:t>along with</w:t>
      </w:r>
      <w:r w:rsidR="483EF321" w:rsidRPr="00617370">
        <w:rPr>
          <w:spacing w:val="2"/>
        </w:rPr>
        <w:t xml:space="preserve"> the interaction of NAPLAN achievement scores and SES</w:t>
      </w:r>
      <w:r w:rsidR="00C10276" w:rsidRPr="00617370">
        <w:rPr>
          <w:spacing w:val="2"/>
        </w:rPr>
        <w:t>,</w:t>
      </w:r>
      <w:r w:rsidR="483EF321" w:rsidRPr="00617370">
        <w:rPr>
          <w:spacing w:val="2"/>
        </w:rPr>
        <w:t xml:space="preserve"> are statistically significant predictors</w:t>
      </w:r>
      <w:r w:rsidR="16AF837B" w:rsidRPr="00617370">
        <w:rPr>
          <w:spacing w:val="2"/>
        </w:rPr>
        <w:t xml:space="preserve"> of receiving an ATAR</w:t>
      </w:r>
      <w:r w:rsidR="2F24CB1A" w:rsidRPr="00617370">
        <w:rPr>
          <w:spacing w:val="2"/>
        </w:rPr>
        <w:t>. Based on the odds</w:t>
      </w:r>
      <w:r w:rsidR="7DA173F6" w:rsidRPr="00617370">
        <w:rPr>
          <w:spacing w:val="2"/>
        </w:rPr>
        <w:t xml:space="preserve"> </w:t>
      </w:r>
      <w:r w:rsidR="2F24CB1A" w:rsidRPr="00617370">
        <w:rPr>
          <w:spacing w:val="2"/>
        </w:rPr>
        <w:t xml:space="preserve">ratio output reported in </w:t>
      </w:r>
      <w:r w:rsidR="009347C3" w:rsidRPr="00617370">
        <w:rPr>
          <w:spacing w:val="2"/>
        </w:rPr>
        <w:t>t</w:t>
      </w:r>
      <w:r w:rsidR="2F24CB1A" w:rsidRPr="00617370">
        <w:rPr>
          <w:spacing w:val="2"/>
        </w:rPr>
        <w:t xml:space="preserve">able </w:t>
      </w:r>
      <w:r w:rsidR="00906194" w:rsidRPr="00617370">
        <w:rPr>
          <w:spacing w:val="2"/>
        </w:rPr>
        <w:t>4</w:t>
      </w:r>
      <w:r w:rsidR="2F24CB1A" w:rsidRPr="00617370">
        <w:rPr>
          <w:spacing w:val="2"/>
        </w:rPr>
        <w:t xml:space="preserve">, </w:t>
      </w:r>
      <w:r w:rsidRPr="00617370">
        <w:rPr>
          <w:spacing w:val="2"/>
        </w:rPr>
        <w:t xml:space="preserve">females </w:t>
      </w:r>
      <w:r w:rsidR="007045BB" w:rsidRPr="00617370">
        <w:rPr>
          <w:spacing w:val="2"/>
        </w:rPr>
        <w:t>are 1.84 times more likely than males to receive an ATAR</w:t>
      </w:r>
      <w:r w:rsidRPr="00617370">
        <w:rPr>
          <w:spacing w:val="2"/>
        </w:rPr>
        <w:t>, holding all other variables constant. Indigenous</w:t>
      </w:r>
      <w:r w:rsidRPr="00617370" w:rsidDel="006732B5">
        <w:rPr>
          <w:spacing w:val="2"/>
        </w:rPr>
        <w:t xml:space="preserve"> </w:t>
      </w:r>
      <w:r w:rsidR="006732B5" w:rsidRPr="00617370">
        <w:rPr>
          <w:spacing w:val="2"/>
        </w:rPr>
        <w:t xml:space="preserve">individuals </w:t>
      </w:r>
      <w:r w:rsidRPr="00617370">
        <w:rPr>
          <w:spacing w:val="2"/>
        </w:rPr>
        <w:t xml:space="preserve">are less likely to receive an ATAR </w:t>
      </w:r>
      <w:r w:rsidR="6015FA8D" w:rsidRPr="00617370">
        <w:rPr>
          <w:spacing w:val="2"/>
        </w:rPr>
        <w:t>than</w:t>
      </w:r>
      <w:r w:rsidRPr="00617370">
        <w:rPr>
          <w:spacing w:val="2"/>
        </w:rPr>
        <w:t xml:space="preserve"> non-Indigenous </w:t>
      </w:r>
      <w:r w:rsidR="00AF4FBA" w:rsidRPr="00617370">
        <w:rPr>
          <w:spacing w:val="2"/>
        </w:rPr>
        <w:t>individuals</w:t>
      </w:r>
      <w:r w:rsidR="0B8A4737" w:rsidRPr="00617370">
        <w:rPr>
          <w:spacing w:val="2"/>
        </w:rPr>
        <w:t>,</w:t>
      </w:r>
      <w:r w:rsidRPr="00617370">
        <w:rPr>
          <w:spacing w:val="2"/>
        </w:rPr>
        <w:t xml:space="preserve"> with an odds</w:t>
      </w:r>
      <w:r w:rsidR="1C6DD6CB" w:rsidRPr="00617370">
        <w:rPr>
          <w:spacing w:val="2"/>
        </w:rPr>
        <w:t xml:space="preserve"> </w:t>
      </w:r>
      <w:r w:rsidRPr="00617370">
        <w:rPr>
          <w:spacing w:val="2"/>
        </w:rPr>
        <w:t xml:space="preserve">ratio of </w:t>
      </w:r>
      <w:r w:rsidR="22D524E0" w:rsidRPr="00617370">
        <w:rPr>
          <w:spacing w:val="2"/>
        </w:rPr>
        <w:t>0.58</w:t>
      </w:r>
      <w:r w:rsidRPr="00617370">
        <w:rPr>
          <w:spacing w:val="2"/>
        </w:rPr>
        <w:t xml:space="preserve">. </w:t>
      </w:r>
      <w:r w:rsidR="007045BB" w:rsidRPr="00617370">
        <w:rPr>
          <w:spacing w:val="2"/>
        </w:rPr>
        <w:t xml:space="preserve">Students </w:t>
      </w:r>
      <w:r w:rsidR="00E86036" w:rsidRPr="00617370">
        <w:rPr>
          <w:spacing w:val="2"/>
        </w:rPr>
        <w:t xml:space="preserve">who speak a language other </w:t>
      </w:r>
      <w:r w:rsidR="00E86036" w:rsidRPr="00617370">
        <w:rPr>
          <w:spacing w:val="2"/>
        </w:rPr>
        <w:lastRenderedPageBreak/>
        <w:t>than English at home are twice as likely to receive an</w:t>
      </w:r>
      <w:r w:rsidR="007045BB" w:rsidRPr="00617370">
        <w:rPr>
          <w:spacing w:val="2"/>
        </w:rPr>
        <w:t xml:space="preserve"> ATAR compared with students from an </w:t>
      </w:r>
      <w:r w:rsidR="00E86036" w:rsidRPr="00617370">
        <w:rPr>
          <w:spacing w:val="2"/>
        </w:rPr>
        <w:t>English-speaking</w:t>
      </w:r>
      <w:r w:rsidR="007045BB" w:rsidRPr="00617370">
        <w:rPr>
          <w:spacing w:val="2"/>
        </w:rPr>
        <w:t xml:space="preserve"> background. </w:t>
      </w:r>
    </w:p>
    <w:bookmarkEnd w:id="51"/>
    <w:p w14:paraId="76C1896A" w14:textId="52A0D209" w:rsidR="00E84453" w:rsidRPr="00617370" w:rsidRDefault="00E84453" w:rsidP="00E84453">
      <w:pPr>
        <w:pStyle w:val="Text"/>
        <w:spacing w:before="240" w:after="240"/>
      </w:pPr>
      <w:r w:rsidRPr="00617370">
        <w:t xml:space="preserve">The interaction of NAPLAN achievement scores and </w:t>
      </w:r>
      <w:r w:rsidR="00F6256D" w:rsidRPr="00617370">
        <w:t>socioeconomic status</w:t>
      </w:r>
      <w:r w:rsidRPr="00617370">
        <w:t xml:space="preserve"> is a significant predictor. </w:t>
      </w:r>
      <w:r w:rsidR="003631EF" w:rsidRPr="00617370">
        <w:t>When c</w:t>
      </w:r>
      <w:r w:rsidRPr="00617370">
        <w:t>omparing an individual from the second</w:t>
      </w:r>
      <w:r w:rsidR="004A7B89" w:rsidRPr="00617370">
        <w:t>-</w:t>
      </w:r>
      <w:r w:rsidRPr="00617370">
        <w:t xml:space="preserve">highest or highest </w:t>
      </w:r>
      <w:r w:rsidR="00F6256D" w:rsidRPr="00617370">
        <w:t>socioeconomic</w:t>
      </w:r>
      <w:r w:rsidRPr="00617370">
        <w:t xml:space="preserve"> quintile </w:t>
      </w:r>
      <w:r w:rsidR="003631EF" w:rsidRPr="00617370">
        <w:t>with</w:t>
      </w:r>
      <w:r w:rsidRPr="00617370">
        <w:t xml:space="preserve"> those from the lowest </w:t>
      </w:r>
      <w:r w:rsidR="00F6256D" w:rsidRPr="00617370">
        <w:t>socioeconomic</w:t>
      </w:r>
      <w:r w:rsidRPr="00617370">
        <w:t xml:space="preserve"> quintile, the likelihood </w:t>
      </w:r>
      <w:r w:rsidR="00BB5F4B" w:rsidRPr="00617370">
        <w:t>of</w:t>
      </w:r>
      <w:r w:rsidR="00F546A1" w:rsidRPr="00617370">
        <w:t xml:space="preserve"> </w:t>
      </w:r>
      <w:r w:rsidR="00BB5F4B" w:rsidRPr="00617370">
        <w:t xml:space="preserve">receiving </w:t>
      </w:r>
      <w:r w:rsidRPr="00617370">
        <w:t>an ATAR increases as their NAPLAN achievement score increases. More precisely, an individual from the second</w:t>
      </w:r>
      <w:r w:rsidR="004A7B89" w:rsidRPr="00617370">
        <w:t>-</w:t>
      </w:r>
      <w:r w:rsidRPr="00617370">
        <w:t xml:space="preserve">highest or highest </w:t>
      </w:r>
      <w:r w:rsidR="008B4809" w:rsidRPr="00617370">
        <w:t>socioeconomic</w:t>
      </w:r>
      <w:r w:rsidRPr="00617370">
        <w:t xml:space="preserve"> quintile</w:t>
      </w:r>
      <w:r w:rsidR="00F40C70" w:rsidRPr="00617370">
        <w:t xml:space="preserve"> with</w:t>
      </w:r>
      <w:r w:rsidRPr="00617370">
        <w:t xml:space="preserve"> an increase of 50 in their NAPLAN achievement scores </w:t>
      </w:r>
      <w:r w:rsidR="00F40C70" w:rsidRPr="00617370">
        <w:t xml:space="preserve">is 1.35 times more likely </w:t>
      </w:r>
      <w:r w:rsidR="003E3031" w:rsidRPr="00617370">
        <w:t xml:space="preserve">to </w:t>
      </w:r>
      <w:r w:rsidR="00F40C70" w:rsidRPr="00617370">
        <w:t>receive</w:t>
      </w:r>
      <w:r w:rsidR="00BB5F4B" w:rsidRPr="00617370">
        <w:t xml:space="preserve"> </w:t>
      </w:r>
      <w:r w:rsidRPr="00617370">
        <w:t xml:space="preserve">an ATAR compared </w:t>
      </w:r>
      <w:r w:rsidR="008E5CEB" w:rsidRPr="00617370">
        <w:t>with</w:t>
      </w:r>
      <w:r w:rsidRPr="00617370">
        <w:t xml:space="preserve"> an individual with the same increment from the lowest </w:t>
      </w:r>
      <w:r w:rsidR="008B4809" w:rsidRPr="00617370">
        <w:t>socioeconomic</w:t>
      </w:r>
      <w:r w:rsidRPr="00617370">
        <w:t xml:space="preserve"> quintile.</w:t>
      </w:r>
      <w:r w:rsidRPr="00617370" w:rsidDel="002E7208">
        <w:t xml:space="preserve"> </w:t>
      </w:r>
      <w:r w:rsidRPr="00617370">
        <w:t xml:space="preserve">In a scenario where the increment in the NAPLAN scores is greater than 50, then the odds </w:t>
      </w:r>
      <w:r w:rsidR="002F527F" w:rsidRPr="00617370">
        <w:t>of</w:t>
      </w:r>
      <w:r w:rsidRPr="00617370">
        <w:t xml:space="preserve"> receiv</w:t>
      </w:r>
      <w:r w:rsidR="002F527F" w:rsidRPr="00617370">
        <w:t>ing</w:t>
      </w:r>
      <w:r w:rsidRPr="00617370">
        <w:t xml:space="preserve"> an ATAR would </w:t>
      </w:r>
      <w:r w:rsidR="004A6357" w:rsidRPr="00617370">
        <w:t xml:space="preserve">increase </w:t>
      </w:r>
      <w:r w:rsidRPr="00617370">
        <w:t>b</w:t>
      </w:r>
      <w:r w:rsidR="004A6357" w:rsidRPr="00617370">
        <w:t>y</w:t>
      </w:r>
      <w:r w:rsidRPr="00617370">
        <w:t xml:space="preserve"> more than </w:t>
      </w:r>
      <w:r w:rsidR="00F40C70" w:rsidRPr="00617370">
        <w:t>1.35</w:t>
      </w:r>
      <w:r w:rsidR="004A6357" w:rsidRPr="00617370">
        <w:t xml:space="preserve"> times</w:t>
      </w:r>
      <w:r w:rsidR="00186E01" w:rsidRPr="00617370">
        <w:t>.</w:t>
      </w:r>
      <w:r w:rsidRPr="00617370">
        <w:t xml:space="preserve"> </w:t>
      </w:r>
      <w:r w:rsidR="00285C18" w:rsidRPr="00617370">
        <w:t>It can be noted that</w:t>
      </w:r>
      <w:r w:rsidR="00EB6DA2" w:rsidRPr="00617370">
        <w:t>,</w:t>
      </w:r>
      <w:r w:rsidR="00285C18" w:rsidRPr="00617370">
        <w:t xml:space="preserve"> while the odds</w:t>
      </w:r>
      <w:r w:rsidR="4F8D942F" w:rsidRPr="00617370">
        <w:t xml:space="preserve"> </w:t>
      </w:r>
      <w:r w:rsidR="00285C18" w:rsidRPr="00617370">
        <w:t xml:space="preserve">ratio for the top two </w:t>
      </w:r>
      <w:r w:rsidR="00FA5F5B" w:rsidRPr="00617370">
        <w:t>socioeconomic</w:t>
      </w:r>
      <w:r w:rsidR="00285C18" w:rsidRPr="00617370">
        <w:t xml:space="preserve"> quintiles are the same </w:t>
      </w:r>
      <w:r w:rsidR="00663D91" w:rsidRPr="00617370">
        <w:t xml:space="preserve">in </w:t>
      </w:r>
      <w:r w:rsidR="213C22ED" w:rsidRPr="00617370">
        <w:t>t</w:t>
      </w:r>
      <w:r w:rsidR="00663D91" w:rsidRPr="00617370">
        <w:t xml:space="preserve">able </w:t>
      </w:r>
      <w:r w:rsidR="00610050" w:rsidRPr="00617370">
        <w:t>4</w:t>
      </w:r>
      <w:r w:rsidR="00663D91" w:rsidRPr="00617370">
        <w:t>, this does no</w:t>
      </w:r>
      <w:r w:rsidR="00FD45C2" w:rsidRPr="00617370">
        <w:t xml:space="preserve">t imply that the </w:t>
      </w:r>
      <w:r w:rsidR="006555A6" w:rsidRPr="00617370">
        <w:t>gap of the odds</w:t>
      </w:r>
      <w:r w:rsidR="211F6BF6" w:rsidRPr="00617370">
        <w:t xml:space="preserve"> </w:t>
      </w:r>
      <w:r w:rsidR="006555A6" w:rsidRPr="00617370">
        <w:t>ratio</w:t>
      </w:r>
      <w:r w:rsidR="00FD45C2" w:rsidRPr="00617370">
        <w:t xml:space="preserve"> between the two quintiles </w:t>
      </w:r>
      <w:r w:rsidR="00733711" w:rsidRPr="00617370">
        <w:t xml:space="preserve">will remain </w:t>
      </w:r>
      <w:r w:rsidR="00EB6DA2" w:rsidRPr="00617370">
        <w:t>at</w:t>
      </w:r>
      <w:r w:rsidR="00733711" w:rsidRPr="00617370">
        <w:t xml:space="preserve"> zero</w:t>
      </w:r>
      <w:r w:rsidR="00FD45C2" w:rsidRPr="00617370">
        <w:t xml:space="preserve"> </w:t>
      </w:r>
      <w:r w:rsidR="008A5DCD" w:rsidRPr="00617370">
        <w:t>when the increase in NAPLAN scores is greater than 50</w:t>
      </w:r>
      <w:r w:rsidR="00A4072C" w:rsidRPr="00617370">
        <w:t xml:space="preserve">. However, </w:t>
      </w:r>
      <w:r w:rsidR="00766FAA" w:rsidRPr="00617370">
        <w:t xml:space="preserve">we have observed with </w:t>
      </w:r>
      <w:r w:rsidR="1B92E069" w:rsidRPr="00617370">
        <w:t>increment</w:t>
      </w:r>
      <w:r w:rsidR="312286AE" w:rsidRPr="00617370">
        <w:t>s</w:t>
      </w:r>
      <w:r w:rsidR="00A41441" w:rsidRPr="00617370">
        <w:t xml:space="preserve"> of NAPLAN scores</w:t>
      </w:r>
      <w:r w:rsidR="006555A6" w:rsidRPr="00617370">
        <w:t xml:space="preserve"> of greater than 50</w:t>
      </w:r>
      <w:r w:rsidR="00A41441" w:rsidRPr="00617370">
        <w:t xml:space="preserve"> </w:t>
      </w:r>
      <w:r w:rsidR="003F3396" w:rsidRPr="00617370">
        <w:t xml:space="preserve">that </w:t>
      </w:r>
      <w:r w:rsidR="00A4072C" w:rsidRPr="00617370">
        <w:t xml:space="preserve">the </w:t>
      </w:r>
      <w:r w:rsidR="0033698E" w:rsidRPr="00617370">
        <w:t>gap does r</w:t>
      </w:r>
      <w:r w:rsidR="00FF71B0" w:rsidRPr="00617370">
        <w:t xml:space="preserve">emain </w:t>
      </w:r>
      <w:r w:rsidR="00E640E6" w:rsidRPr="00617370">
        <w:t>minimal</w:t>
      </w:r>
      <w:r w:rsidR="00766FAA" w:rsidRPr="00617370">
        <w:t xml:space="preserve"> (</w:t>
      </w:r>
      <w:r w:rsidR="00A41441" w:rsidRPr="00617370">
        <w:t xml:space="preserve">or </w:t>
      </w:r>
      <w:r w:rsidR="00766FAA" w:rsidRPr="00617370">
        <w:t>close to zero)</w:t>
      </w:r>
      <w:r w:rsidR="00942D22" w:rsidRPr="00617370">
        <w:t>,</w:t>
      </w:r>
      <w:r w:rsidR="00E640E6" w:rsidRPr="00617370">
        <w:t xml:space="preserve"> which </w:t>
      </w:r>
      <w:r w:rsidR="00A41441" w:rsidRPr="00617370">
        <w:t>may</w:t>
      </w:r>
      <w:r w:rsidR="00F25DB2" w:rsidRPr="00617370">
        <w:t xml:space="preserve"> imply that the effect of </w:t>
      </w:r>
      <w:r w:rsidR="00E75DD3" w:rsidRPr="00617370">
        <w:t>socioeconomic</w:t>
      </w:r>
      <w:r w:rsidR="0055596F" w:rsidRPr="00617370">
        <w:t xml:space="preserve"> status</w:t>
      </w:r>
      <w:r w:rsidR="00F25DB2" w:rsidRPr="00617370">
        <w:t xml:space="preserve"> plateaus at the higher </w:t>
      </w:r>
      <w:r w:rsidR="00E75DD3" w:rsidRPr="00617370">
        <w:t>socioeconomic</w:t>
      </w:r>
      <w:r w:rsidR="00A41441" w:rsidRPr="00617370">
        <w:t xml:space="preserve"> </w:t>
      </w:r>
      <w:r w:rsidR="00F25DB2" w:rsidRPr="00617370">
        <w:t>quintiles</w:t>
      </w:r>
      <w:r w:rsidR="00A41441" w:rsidRPr="00617370">
        <w:t xml:space="preserve">, suggesting </w:t>
      </w:r>
      <w:r w:rsidR="002D1F03" w:rsidRPr="00617370">
        <w:t xml:space="preserve">a diminishing SES effect. </w:t>
      </w:r>
    </w:p>
    <w:p w14:paraId="431ADBEC" w14:textId="2BA235AD" w:rsidR="00996DD4" w:rsidRPr="00617370" w:rsidRDefault="00E75DD3" w:rsidP="00996DD4">
      <w:pPr>
        <w:pStyle w:val="Text"/>
      </w:pPr>
      <w:r w:rsidRPr="00617370">
        <w:t>The r</w:t>
      </w:r>
      <w:r w:rsidR="00996DD4" w:rsidRPr="00617370">
        <w:t xml:space="preserve">andom effect of </w:t>
      </w:r>
      <w:r w:rsidR="53A7C2E4" w:rsidRPr="00617370">
        <w:t xml:space="preserve">the </w:t>
      </w:r>
      <w:r w:rsidR="00996DD4" w:rsidRPr="00617370">
        <w:t>school is statistically significant when tested against the null model of not having a random effect</w:t>
      </w:r>
      <w:r w:rsidR="53A7C2E4" w:rsidRPr="00617370">
        <w:t>,</w:t>
      </w:r>
      <w:r w:rsidR="00996DD4" w:rsidRPr="00617370">
        <w:t xml:space="preserve"> as indicated by the p-value of less than 0.05 in </w:t>
      </w:r>
      <w:r w:rsidR="00E20092" w:rsidRPr="00617370">
        <w:t>t</w:t>
      </w:r>
      <w:r w:rsidR="00996DD4" w:rsidRPr="00617370">
        <w:t xml:space="preserve">able </w:t>
      </w:r>
      <w:r w:rsidR="00610050" w:rsidRPr="00617370">
        <w:t>4</w:t>
      </w:r>
      <w:r w:rsidR="00996DD4" w:rsidRPr="00617370">
        <w:t>. Using the random effect estimate from the output, we can also calculate the intraclass correlation coefficient (ICC)</w:t>
      </w:r>
      <w:r w:rsidR="000E7CD3" w:rsidRPr="00617370">
        <w:t>, which</w:t>
      </w:r>
      <w:r w:rsidR="00996DD4" w:rsidRPr="00617370">
        <w:t xml:space="preserve"> indicates how much of the variation in the probability of achieving an ATAR is </w:t>
      </w:r>
      <w:r w:rsidR="005F6541" w:rsidRPr="00617370">
        <w:t>attributable to</w:t>
      </w:r>
      <w:r w:rsidR="00996DD4" w:rsidRPr="00617370">
        <w:t xml:space="preserve"> schools. The ICC is calculated as follows:</w:t>
      </w:r>
    </w:p>
    <w:p w14:paraId="7873CDD7" w14:textId="5C4C9664" w:rsidR="00996DD4" w:rsidRPr="00617370" w:rsidRDefault="00795E71" w:rsidP="00996DD4">
      <w:pPr>
        <w:pStyle w:val="Text"/>
        <w:spacing w:before="240" w:after="240"/>
        <w:jc w:val="center"/>
      </w:pPr>
      <m:oMath>
        <m:sSub>
          <m:sSubPr>
            <m:ctrlPr>
              <w:rPr>
                <w:rFonts w:ascii="Cambria Math" w:hAnsi="Cambria Math"/>
                <w:i/>
                <w:sz w:val="22"/>
              </w:rPr>
            </m:ctrlPr>
          </m:sSubPr>
          <m:e>
            <m:r>
              <w:rPr>
                <w:rFonts w:ascii="Cambria Math" w:hAnsi="Cambria Math"/>
                <w:sz w:val="22"/>
              </w:rPr>
              <m:t>ICC</m:t>
            </m:r>
          </m:e>
          <m:sub>
            <m:r>
              <w:rPr>
                <w:rFonts w:ascii="Cambria Math" w:hAnsi="Cambria Math"/>
                <w:sz w:val="22"/>
              </w:rPr>
              <m:t xml:space="preserve">school </m:t>
            </m:r>
          </m:sub>
        </m:sSub>
        <m:r>
          <w:rPr>
            <w:rFonts w:ascii="Cambria Math" w:hAnsi="Cambria Math"/>
            <w:sz w:val="22"/>
          </w:rPr>
          <m:t xml:space="preserve">= </m:t>
        </m:r>
        <m:f>
          <m:fPr>
            <m:ctrlPr>
              <w:rPr>
                <w:rFonts w:ascii="Cambria Math" w:hAnsi="Cambria Math"/>
                <w:i/>
                <w:sz w:val="22"/>
              </w:rPr>
            </m:ctrlPr>
          </m:fPr>
          <m:num>
            <m:r>
              <w:rPr>
                <w:rFonts w:ascii="Cambria Math" w:hAnsi="Cambria Math"/>
                <w:sz w:val="22"/>
              </w:rPr>
              <m:t>school random effect estimate</m:t>
            </m:r>
          </m:num>
          <m:den>
            <m:r>
              <w:rPr>
                <w:rFonts w:ascii="Cambria Math" w:hAnsi="Cambria Math"/>
                <w:sz w:val="22"/>
              </w:rPr>
              <m:t>school random effect estimate+3.29</m:t>
            </m:r>
          </m:den>
        </m:f>
      </m:oMath>
      <w:r w:rsidR="00996DD4" w:rsidRPr="00617370">
        <w:tab/>
        <w:t>,</w:t>
      </w:r>
    </w:p>
    <w:p w14:paraId="5C68FF66" w14:textId="6BE629E4" w:rsidR="00996DD4" w:rsidRPr="00617370" w:rsidRDefault="00996DD4" w:rsidP="00F371F7">
      <w:pPr>
        <w:pStyle w:val="Text"/>
        <w:spacing w:before="240" w:after="240"/>
      </w:pPr>
      <w:r w:rsidRPr="00617370">
        <w:t xml:space="preserve">where 3.29 is the assumed level-1 error variance. More detailed information about the level-1 error variance and ICC is available from </w:t>
      </w:r>
      <w:r w:rsidR="00B14ED4" w:rsidRPr="00617370">
        <w:t>Ene et al. (2015)</w:t>
      </w:r>
      <w:r w:rsidRPr="00617370">
        <w:t>. Using the above formula, we obtain an ICC of 0.</w:t>
      </w:r>
      <w:r w:rsidR="00AF7B2C" w:rsidRPr="00617370">
        <w:t>127</w:t>
      </w:r>
      <w:r w:rsidR="00712AD4" w:rsidRPr="00617370">
        <w:t>,</w:t>
      </w:r>
      <w:r w:rsidR="00AF7B2C" w:rsidRPr="00617370">
        <w:t xml:space="preserve"> </w:t>
      </w:r>
      <w:r w:rsidRPr="00617370">
        <w:t xml:space="preserve">which indicates that approximately </w:t>
      </w:r>
      <w:r w:rsidR="00AF7B2C" w:rsidRPr="00617370">
        <w:t>12.7</w:t>
      </w:r>
      <w:r w:rsidRPr="00617370">
        <w:t xml:space="preserve">% of the variability in the probability of </w:t>
      </w:r>
      <w:r w:rsidR="00AF7B2C" w:rsidRPr="00617370">
        <w:t xml:space="preserve">receiving </w:t>
      </w:r>
      <w:r w:rsidRPr="00617370">
        <w:t>an ATAR is accounted</w:t>
      </w:r>
      <w:r w:rsidR="00106875" w:rsidRPr="00617370">
        <w:t xml:space="preserve"> for</w:t>
      </w:r>
      <w:r w:rsidRPr="00617370">
        <w:t xml:space="preserve"> by the school. </w:t>
      </w:r>
    </w:p>
    <w:p w14:paraId="5577ECE6" w14:textId="77777777" w:rsidR="00F371F7" w:rsidRPr="00617370" w:rsidRDefault="00F371F7" w:rsidP="00F371F7">
      <w:pPr>
        <w:pStyle w:val="Heading3"/>
      </w:pPr>
      <w:r w:rsidRPr="00617370">
        <w:t>ATAR high achievers</w:t>
      </w:r>
    </w:p>
    <w:p w14:paraId="45097B5B" w14:textId="4630A32B" w:rsidR="00E84453" w:rsidRPr="00617370" w:rsidRDefault="00F371F7" w:rsidP="00E84453">
      <w:pPr>
        <w:pStyle w:val="Text"/>
      </w:pPr>
      <w:r w:rsidRPr="00617370">
        <w:t>Results from the ATAR high</w:t>
      </w:r>
      <w:r w:rsidR="00B461A6" w:rsidRPr="00617370">
        <w:t>-</w:t>
      </w:r>
      <w:r w:rsidRPr="00617370">
        <w:t xml:space="preserve">achiever model differ </w:t>
      </w:r>
      <w:r w:rsidR="28D96514" w:rsidRPr="00617370">
        <w:t>from</w:t>
      </w:r>
      <w:r w:rsidRPr="00617370">
        <w:t xml:space="preserve"> the ATAR recipient model. </w:t>
      </w:r>
      <w:r w:rsidR="00E14A5D" w:rsidRPr="00617370">
        <w:t xml:space="preserve">While </w:t>
      </w:r>
      <w:r w:rsidR="004E0D0C" w:rsidRPr="00617370">
        <w:t xml:space="preserve">gender and </w:t>
      </w:r>
      <w:r w:rsidR="00E14A5D" w:rsidRPr="00617370">
        <w:t>Year 9 NAPLAN achievement remain significant in the ATAR high</w:t>
      </w:r>
      <w:r w:rsidR="00B051F3" w:rsidRPr="00617370">
        <w:t>-</w:t>
      </w:r>
      <w:r w:rsidR="00E14A5D" w:rsidRPr="00617370">
        <w:t xml:space="preserve">achievers model, </w:t>
      </w:r>
      <w:r w:rsidR="00E84453" w:rsidRPr="00617370">
        <w:t xml:space="preserve">Indigenous status, language spoken at home and the interaction </w:t>
      </w:r>
      <w:r w:rsidR="00E14A5D" w:rsidRPr="00617370">
        <w:t xml:space="preserve">between </w:t>
      </w:r>
      <w:r w:rsidR="00E84453" w:rsidRPr="00617370">
        <w:t xml:space="preserve">NAPLAN </w:t>
      </w:r>
      <w:r w:rsidR="00E14A5D" w:rsidRPr="00617370">
        <w:t xml:space="preserve">achievement and socioeconomic status are no longer statistically significant. </w:t>
      </w:r>
    </w:p>
    <w:p w14:paraId="17CE2D06" w14:textId="0764D5F9" w:rsidR="00E84453" w:rsidRPr="00617370" w:rsidRDefault="00E14A5D" w:rsidP="00E84453">
      <w:pPr>
        <w:pStyle w:val="Text"/>
      </w:pPr>
      <w:r w:rsidRPr="00617370">
        <w:t xml:space="preserve">The results from our second model </w:t>
      </w:r>
      <w:r w:rsidR="00B051F3" w:rsidRPr="00617370">
        <w:t>indicate that</w:t>
      </w:r>
      <w:r w:rsidRPr="00617370">
        <w:t xml:space="preserve"> females are 1.81 times more likely than males to achieve an ATAR of 90 </w:t>
      </w:r>
      <w:r w:rsidR="13F1AF9E" w:rsidRPr="00617370">
        <w:t>or</w:t>
      </w:r>
      <w:r w:rsidRPr="00617370">
        <w:t xml:space="preserve"> above. In addition, an </w:t>
      </w:r>
      <w:r w:rsidR="00E84453" w:rsidRPr="00617370">
        <w:t xml:space="preserve">increase in the Year 9 NAPLAN achievement score increases the likelihood of an individual </w:t>
      </w:r>
      <w:r w:rsidR="001C4348" w:rsidRPr="00617370">
        <w:t>attaining</w:t>
      </w:r>
      <w:r w:rsidRPr="00617370">
        <w:t xml:space="preserve"> </w:t>
      </w:r>
      <w:r w:rsidR="00E84453" w:rsidRPr="00617370">
        <w:t xml:space="preserve">an ATAR of 90 </w:t>
      </w:r>
      <w:r w:rsidR="5BCE09B5" w:rsidRPr="00617370">
        <w:t>or</w:t>
      </w:r>
      <w:r w:rsidR="00E84453" w:rsidRPr="00617370">
        <w:t xml:space="preserve"> above. Specifically, an individual with an increase of 50 above the mean NAPLAN achievement scores </w:t>
      </w:r>
      <w:r w:rsidR="4FE58B09" w:rsidRPr="00617370">
        <w:t>is</w:t>
      </w:r>
      <w:r w:rsidR="00E84453" w:rsidRPr="00617370">
        <w:t xml:space="preserve"> </w:t>
      </w:r>
      <w:r w:rsidR="00F40C70" w:rsidRPr="00617370">
        <w:t xml:space="preserve">around </w:t>
      </w:r>
      <w:r w:rsidR="00E84453" w:rsidRPr="00617370">
        <w:t>1.</w:t>
      </w:r>
      <w:r w:rsidR="00F40C70" w:rsidRPr="00617370">
        <w:t>8</w:t>
      </w:r>
      <w:r w:rsidR="00E84453" w:rsidRPr="00617370">
        <w:t xml:space="preserve"> times</w:t>
      </w:r>
      <w:r w:rsidR="00F40C70" w:rsidRPr="00617370">
        <w:rPr>
          <w:rStyle w:val="FootnoteReference"/>
        </w:rPr>
        <w:footnoteReference w:id="6"/>
      </w:r>
      <w:r w:rsidR="00E84453" w:rsidRPr="00617370">
        <w:t xml:space="preserve"> more likely than an individual at the mean NAPLAN score</w:t>
      </w:r>
      <w:r w:rsidR="00E84453" w:rsidRPr="00617370" w:rsidDel="00E14A5D">
        <w:t xml:space="preserve"> to achieve an ATAR of 90 </w:t>
      </w:r>
      <w:r w:rsidR="44FF2151" w:rsidRPr="00617370">
        <w:t>or</w:t>
      </w:r>
      <w:r w:rsidR="00E84453" w:rsidRPr="00617370" w:rsidDel="00E14A5D">
        <w:t xml:space="preserve"> above</w:t>
      </w:r>
      <w:r w:rsidR="00E84453" w:rsidRPr="00617370">
        <w:t xml:space="preserve">. </w:t>
      </w:r>
    </w:p>
    <w:p w14:paraId="43A1B6C5" w14:textId="589D3FA4" w:rsidR="00BB57AD" w:rsidRPr="00617370" w:rsidRDefault="009C5E63" w:rsidP="006E1FB3">
      <w:pPr>
        <w:pStyle w:val="Text"/>
      </w:pPr>
      <w:r w:rsidRPr="00617370">
        <w:t>The random effect of school for ATAR high achievers is also statistically significant when tested against the null model of no random effect. The ICC of school in this model is 0.1351</w:t>
      </w:r>
      <w:r w:rsidR="00B37C09" w:rsidRPr="00617370">
        <w:t>,</w:t>
      </w:r>
      <w:r w:rsidRPr="00617370">
        <w:t xml:space="preserve"> indicating that schools account for approximately 13.5% of the variance in the probability of achieving an ATAR of 90 </w:t>
      </w:r>
      <w:r w:rsidR="31410BE0" w:rsidRPr="00617370">
        <w:t>or</w:t>
      </w:r>
      <w:r w:rsidRPr="00617370">
        <w:t xml:space="preserve"> above, noting a higher school </w:t>
      </w:r>
      <w:r w:rsidR="007F7077" w:rsidRPr="00617370">
        <w:t xml:space="preserve">impact </w:t>
      </w:r>
      <w:r w:rsidRPr="00617370">
        <w:t xml:space="preserve">when compared </w:t>
      </w:r>
      <w:r w:rsidR="008E5CEB" w:rsidRPr="00617370">
        <w:t>with</w:t>
      </w:r>
      <w:r w:rsidRPr="00617370">
        <w:t xml:space="preserve"> the ATAR </w:t>
      </w:r>
      <w:r w:rsidR="006B3B31" w:rsidRPr="00617370">
        <w:t>recipients’</w:t>
      </w:r>
      <w:r w:rsidRPr="00617370">
        <w:t xml:space="preserve"> model.</w:t>
      </w:r>
      <w:r w:rsidR="00BB57AD" w:rsidRPr="00617370">
        <w:br w:type="page"/>
      </w:r>
    </w:p>
    <w:p w14:paraId="3BA5171F" w14:textId="77777777" w:rsidR="00F371F7" w:rsidRPr="00617370" w:rsidRDefault="00F371F7" w:rsidP="00F371F7">
      <w:pPr>
        <w:pStyle w:val="Heading3"/>
      </w:pPr>
      <w:r w:rsidRPr="00617370">
        <w:lastRenderedPageBreak/>
        <w:t>Impact of predictor variables</w:t>
      </w:r>
    </w:p>
    <w:p w14:paraId="4774C785" w14:textId="7679CBE5" w:rsidR="00F371F7" w:rsidRPr="00617370" w:rsidRDefault="14EC4F30" w:rsidP="00F371F7">
      <w:pPr>
        <w:pStyle w:val="Text"/>
      </w:pPr>
      <w:r w:rsidRPr="00617370">
        <w:t xml:space="preserve">One of the ways to assess the relative impact of each predictor variable on the outcome variable is through the estimates of standardised coefficients. Standardised coefficients estimate the change in the response variable associated with a </w:t>
      </w:r>
      <w:r w:rsidR="002C0362" w:rsidRPr="00617370">
        <w:t xml:space="preserve">change of </w:t>
      </w:r>
      <w:r w:rsidRPr="00617370">
        <w:t>one</w:t>
      </w:r>
      <w:r w:rsidR="002C0362" w:rsidRPr="00617370">
        <w:t xml:space="preserve"> </w:t>
      </w:r>
      <w:r w:rsidRPr="00617370">
        <w:t>standard deviation in the predictor variable. Essentially, standardised coefficients allow us to compare the relative impact of each predictor on the outcome variable by adjusting them all on the same unitless scale. A larger estimate therefore implies a larger impact.</w:t>
      </w:r>
      <w:r w:rsidR="525989E8" w:rsidRPr="00617370">
        <w:t xml:space="preserve"> The ‘sign’ of the estimate also shows the direction of the impact, where a positive estimate indicates an increasing/positive impact</w:t>
      </w:r>
      <w:r w:rsidR="00A311A5" w:rsidRPr="00617370">
        <w:t>,</w:t>
      </w:r>
      <w:r w:rsidR="525989E8" w:rsidRPr="00617370">
        <w:t xml:space="preserve"> while a negative estimate indicates </w:t>
      </w:r>
      <w:r w:rsidR="00A311A5" w:rsidRPr="00617370">
        <w:t xml:space="preserve">a </w:t>
      </w:r>
      <w:r w:rsidR="525989E8" w:rsidRPr="00617370">
        <w:t>decreasing/negative impact on the outcome variable.</w:t>
      </w:r>
      <w:r w:rsidRPr="00617370">
        <w:t xml:space="preserve"> Table </w:t>
      </w:r>
      <w:r w:rsidR="00610050" w:rsidRPr="00617370">
        <w:t xml:space="preserve">5 </w:t>
      </w:r>
      <w:r w:rsidR="00A311A5" w:rsidRPr="00617370">
        <w:t>gives</w:t>
      </w:r>
      <w:r w:rsidRPr="00617370">
        <w:t xml:space="preserve"> the standardised coefficients of </w:t>
      </w:r>
      <w:r w:rsidR="485DA3B8" w:rsidRPr="00617370">
        <w:t xml:space="preserve">the </w:t>
      </w:r>
      <w:r w:rsidRPr="00617370">
        <w:t>fixed</w:t>
      </w:r>
      <w:r w:rsidR="00C70010" w:rsidRPr="00617370">
        <w:t>-</w:t>
      </w:r>
      <w:r w:rsidRPr="00617370">
        <w:t>effects</w:t>
      </w:r>
      <w:r w:rsidR="61C5BE46" w:rsidRPr="00617370">
        <w:t xml:space="preserve"> variables</w:t>
      </w:r>
      <w:r w:rsidRPr="00617370">
        <w:t xml:space="preserve"> </w:t>
      </w:r>
      <w:r w:rsidR="61C5BE46" w:rsidRPr="00617370">
        <w:t xml:space="preserve">for </w:t>
      </w:r>
      <w:r w:rsidRPr="00617370">
        <w:t xml:space="preserve">both models. </w:t>
      </w:r>
    </w:p>
    <w:p w14:paraId="66170930" w14:textId="76BEA2C3" w:rsidR="00F371F7" w:rsidRPr="00617370" w:rsidRDefault="14EC4F30" w:rsidP="00F371F7">
      <w:pPr>
        <w:pStyle w:val="Tabletitle"/>
      </w:pPr>
      <w:bookmarkStart w:id="52" w:name="_Toc163480806"/>
      <w:r w:rsidRPr="00617370">
        <w:t xml:space="preserve">Table </w:t>
      </w:r>
      <w:r w:rsidR="00610050" w:rsidRPr="00617370">
        <w:t>5</w:t>
      </w:r>
      <w:r w:rsidR="00F371F7" w:rsidRPr="00617370">
        <w:tab/>
      </w:r>
      <w:r w:rsidRPr="00617370">
        <w:t>Standardised coefficients estimates for ATAR recipients and ATAR high achievers</w:t>
      </w:r>
      <w:bookmarkEnd w:id="52"/>
    </w:p>
    <w:tbl>
      <w:tblPr>
        <w:tblStyle w:val="NCVERTable"/>
        <w:tblW w:w="9030" w:type="dxa"/>
        <w:tblLayout w:type="fixed"/>
        <w:tblLook w:val="04A0" w:firstRow="1" w:lastRow="0" w:firstColumn="1" w:lastColumn="0" w:noHBand="0" w:noVBand="1"/>
      </w:tblPr>
      <w:tblGrid>
        <w:gridCol w:w="2977"/>
        <w:gridCol w:w="1008"/>
        <w:gridCol w:w="1009"/>
        <w:gridCol w:w="1009"/>
        <w:gridCol w:w="1009"/>
        <w:gridCol w:w="1009"/>
        <w:gridCol w:w="1009"/>
      </w:tblGrid>
      <w:tr w:rsidR="00F371F7" w:rsidRPr="00617370" w14:paraId="09502648" w14:textId="77777777" w:rsidTr="00595D1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shd w:val="clear" w:color="auto" w:fill="auto"/>
            <w:noWrap/>
            <w:hideMark/>
          </w:tcPr>
          <w:p w14:paraId="1CC86868" w14:textId="77777777" w:rsidR="00F371F7" w:rsidRPr="00617370" w:rsidRDefault="00F371F7" w:rsidP="00CB1F9F">
            <w:pPr>
              <w:pStyle w:val="Tablehead1"/>
              <w:jc w:val="center"/>
              <w:rPr>
                <w:b/>
                <w:bCs w:val="0"/>
              </w:rPr>
            </w:pPr>
          </w:p>
        </w:tc>
        <w:tc>
          <w:tcPr>
            <w:tcW w:w="3026" w:type="dxa"/>
            <w:gridSpan w:val="3"/>
            <w:tcBorders>
              <w:bottom w:val="nil"/>
              <w:right w:val="single" w:sz="4" w:space="0" w:color="auto"/>
            </w:tcBorders>
            <w:shd w:val="clear" w:color="auto" w:fill="auto"/>
            <w:noWrap/>
            <w:vAlign w:val="center"/>
            <w:hideMark/>
          </w:tcPr>
          <w:p w14:paraId="4F5A1BD2" w14:textId="03729076" w:rsidR="00F371F7" w:rsidRPr="00617370" w:rsidRDefault="00AF7B2C" w:rsidP="00CB1F9F">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Model 1: </w:t>
            </w:r>
            <w:r w:rsidR="00F371F7" w:rsidRPr="00617370">
              <w:rPr>
                <w:b/>
                <w:bCs w:val="0"/>
              </w:rPr>
              <w:t>ATAR recipients</w:t>
            </w:r>
          </w:p>
        </w:tc>
        <w:tc>
          <w:tcPr>
            <w:tcW w:w="3027" w:type="dxa"/>
            <w:gridSpan w:val="3"/>
            <w:tcBorders>
              <w:left w:val="single" w:sz="4" w:space="0" w:color="auto"/>
              <w:bottom w:val="nil"/>
            </w:tcBorders>
            <w:shd w:val="clear" w:color="auto" w:fill="auto"/>
            <w:noWrap/>
            <w:vAlign w:val="center"/>
            <w:hideMark/>
          </w:tcPr>
          <w:p w14:paraId="4EEA306A" w14:textId="02313EBF" w:rsidR="00F371F7" w:rsidRPr="00617370" w:rsidRDefault="00AF7B2C" w:rsidP="00CB1F9F">
            <w:pPr>
              <w:pStyle w:val="Tablehead1"/>
              <w:jc w:val="center"/>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Model 2: </w:t>
            </w:r>
            <w:r w:rsidR="00F371F7" w:rsidRPr="00617370">
              <w:rPr>
                <w:b/>
                <w:bCs w:val="0"/>
              </w:rPr>
              <w:t>ATAR high achievers</w:t>
            </w:r>
          </w:p>
        </w:tc>
      </w:tr>
      <w:tr w:rsidR="00595D13" w:rsidRPr="00617370" w14:paraId="59B474AA"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noWrap/>
            <w:hideMark/>
          </w:tcPr>
          <w:p w14:paraId="62D94E7A" w14:textId="77777777" w:rsidR="00F371F7" w:rsidRPr="00617370" w:rsidRDefault="00F371F7" w:rsidP="00CB1F9F">
            <w:pPr>
              <w:pStyle w:val="Tablehead2"/>
              <w:jc w:val="center"/>
              <w:rPr>
                <w:sz w:val="16"/>
                <w:szCs w:val="16"/>
              </w:rPr>
            </w:pPr>
          </w:p>
        </w:tc>
        <w:tc>
          <w:tcPr>
            <w:tcW w:w="1008" w:type="dxa"/>
            <w:tcBorders>
              <w:top w:val="nil"/>
              <w:bottom w:val="single" w:sz="4" w:space="0" w:color="auto"/>
            </w:tcBorders>
            <w:shd w:val="clear" w:color="auto" w:fill="auto"/>
            <w:noWrap/>
            <w:vAlign w:val="center"/>
            <w:hideMark/>
          </w:tcPr>
          <w:p w14:paraId="45A4929C" w14:textId="77777777" w:rsidR="00F371F7" w:rsidRPr="00617370" w:rsidRDefault="00F371F7" w:rsidP="00CB1F9F">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Estimate</w:t>
            </w:r>
          </w:p>
        </w:tc>
        <w:tc>
          <w:tcPr>
            <w:tcW w:w="1009" w:type="dxa"/>
            <w:tcBorders>
              <w:top w:val="nil"/>
              <w:bottom w:val="single" w:sz="4" w:space="0" w:color="auto"/>
            </w:tcBorders>
            <w:shd w:val="clear" w:color="auto" w:fill="auto"/>
            <w:noWrap/>
            <w:vAlign w:val="center"/>
            <w:hideMark/>
          </w:tcPr>
          <w:p w14:paraId="559940EA" w14:textId="77777777" w:rsidR="00F371F7" w:rsidRPr="00617370" w:rsidRDefault="00F371F7" w:rsidP="00CB1F9F">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p-value</w:t>
            </w:r>
          </w:p>
        </w:tc>
        <w:tc>
          <w:tcPr>
            <w:tcW w:w="1009" w:type="dxa"/>
            <w:tcBorders>
              <w:top w:val="nil"/>
              <w:bottom w:val="single" w:sz="4" w:space="0" w:color="auto"/>
              <w:right w:val="single" w:sz="4" w:space="0" w:color="auto"/>
            </w:tcBorders>
            <w:shd w:val="clear" w:color="auto" w:fill="auto"/>
            <w:noWrap/>
            <w:vAlign w:val="center"/>
            <w:hideMark/>
          </w:tcPr>
          <w:p w14:paraId="735C2D77" w14:textId="77777777" w:rsidR="00F371F7" w:rsidRPr="00617370" w:rsidRDefault="00F371F7" w:rsidP="00CB1F9F">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c>
          <w:tcPr>
            <w:tcW w:w="1009" w:type="dxa"/>
            <w:tcBorders>
              <w:top w:val="nil"/>
              <w:left w:val="single" w:sz="4" w:space="0" w:color="auto"/>
              <w:bottom w:val="single" w:sz="4" w:space="0" w:color="auto"/>
            </w:tcBorders>
            <w:shd w:val="clear" w:color="auto" w:fill="auto"/>
            <w:noWrap/>
            <w:vAlign w:val="center"/>
            <w:hideMark/>
          </w:tcPr>
          <w:p w14:paraId="324933FB" w14:textId="77777777" w:rsidR="00F371F7" w:rsidRPr="00617370" w:rsidRDefault="00F371F7" w:rsidP="00CB1F9F">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Estimate</w:t>
            </w:r>
          </w:p>
        </w:tc>
        <w:tc>
          <w:tcPr>
            <w:tcW w:w="1009" w:type="dxa"/>
            <w:tcBorders>
              <w:top w:val="nil"/>
              <w:bottom w:val="single" w:sz="4" w:space="0" w:color="auto"/>
            </w:tcBorders>
            <w:shd w:val="clear" w:color="auto" w:fill="auto"/>
            <w:noWrap/>
            <w:vAlign w:val="center"/>
            <w:hideMark/>
          </w:tcPr>
          <w:p w14:paraId="3D5BE080" w14:textId="77777777" w:rsidR="00F371F7" w:rsidRPr="00617370" w:rsidRDefault="00F371F7" w:rsidP="00CB1F9F">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p-value</w:t>
            </w:r>
          </w:p>
        </w:tc>
        <w:tc>
          <w:tcPr>
            <w:tcW w:w="1009" w:type="dxa"/>
            <w:tcBorders>
              <w:top w:val="nil"/>
              <w:bottom w:val="single" w:sz="4" w:space="0" w:color="auto"/>
            </w:tcBorders>
            <w:shd w:val="clear" w:color="auto" w:fill="auto"/>
            <w:noWrap/>
            <w:vAlign w:val="center"/>
            <w:hideMark/>
          </w:tcPr>
          <w:p w14:paraId="08C070CF" w14:textId="77777777" w:rsidR="00F371F7" w:rsidRPr="00617370" w:rsidRDefault="00F371F7" w:rsidP="00CB1F9F">
            <w:pPr>
              <w:pStyle w:val="Tablehead2"/>
              <w:jc w:val="center"/>
              <w:cnfStyle w:val="000000100000" w:firstRow="0" w:lastRow="0" w:firstColumn="0" w:lastColumn="0" w:oddVBand="0" w:evenVBand="0" w:oddHBand="1" w:evenHBand="0" w:firstRowFirstColumn="0" w:firstRowLastColumn="0" w:lastRowFirstColumn="0" w:lastRowLastColumn="0"/>
              <w:rPr>
                <w:sz w:val="16"/>
                <w:szCs w:val="16"/>
              </w:rPr>
            </w:pPr>
            <w:r w:rsidRPr="00617370">
              <w:rPr>
                <w:sz w:val="16"/>
                <w:szCs w:val="16"/>
              </w:rPr>
              <w:t>Stat. sig. at 5% level</w:t>
            </w:r>
          </w:p>
        </w:tc>
      </w:tr>
      <w:tr w:rsidR="00F371F7" w:rsidRPr="00617370" w14:paraId="6A6D73C8" w14:textId="77777777" w:rsidTr="00595D13">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noWrap/>
            <w:hideMark/>
          </w:tcPr>
          <w:p w14:paraId="7AEC71D3" w14:textId="77777777" w:rsidR="00F371F7" w:rsidRPr="00617370" w:rsidRDefault="00F371F7">
            <w:pPr>
              <w:pStyle w:val="Tabletext"/>
            </w:pPr>
            <w:r w:rsidRPr="00617370">
              <w:t>Gender</w:t>
            </w:r>
          </w:p>
        </w:tc>
        <w:tc>
          <w:tcPr>
            <w:tcW w:w="1008" w:type="dxa"/>
            <w:tcBorders>
              <w:top w:val="single" w:sz="4" w:space="0" w:color="auto"/>
              <w:bottom w:val="nil"/>
            </w:tcBorders>
            <w:noWrap/>
            <w:vAlign w:val="center"/>
            <w:hideMark/>
          </w:tcPr>
          <w:p w14:paraId="5BD7A436"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rPr>
                <w:bCs/>
              </w:rPr>
            </w:pPr>
          </w:p>
        </w:tc>
        <w:tc>
          <w:tcPr>
            <w:tcW w:w="1009" w:type="dxa"/>
            <w:tcBorders>
              <w:top w:val="single" w:sz="4" w:space="0" w:color="auto"/>
              <w:bottom w:val="nil"/>
            </w:tcBorders>
            <w:noWrap/>
            <w:vAlign w:val="center"/>
            <w:hideMark/>
          </w:tcPr>
          <w:p w14:paraId="7AC38F7E"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right w:val="single" w:sz="4" w:space="0" w:color="auto"/>
            </w:tcBorders>
            <w:noWrap/>
            <w:vAlign w:val="center"/>
            <w:hideMark/>
          </w:tcPr>
          <w:p w14:paraId="3B64D9D9"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left w:val="single" w:sz="4" w:space="0" w:color="auto"/>
              <w:bottom w:val="nil"/>
            </w:tcBorders>
            <w:noWrap/>
            <w:vAlign w:val="center"/>
            <w:hideMark/>
          </w:tcPr>
          <w:p w14:paraId="27062416"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noWrap/>
            <w:vAlign w:val="center"/>
            <w:hideMark/>
          </w:tcPr>
          <w:p w14:paraId="31A33A0F"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noWrap/>
            <w:vAlign w:val="center"/>
            <w:hideMark/>
          </w:tcPr>
          <w:p w14:paraId="5DF711A9"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r>
      <w:tr w:rsidR="00704D32" w:rsidRPr="00617370" w14:paraId="378D3D38"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hideMark/>
          </w:tcPr>
          <w:p w14:paraId="03FFB55F" w14:textId="77777777" w:rsidR="00AF7B2C" w:rsidRPr="00617370" w:rsidRDefault="00AF7B2C" w:rsidP="00AF7B2C">
            <w:pPr>
              <w:pStyle w:val="Tabletext"/>
              <w:rPr>
                <w:b w:val="0"/>
                <w:bCs/>
              </w:rPr>
            </w:pPr>
            <w:r w:rsidRPr="00617370">
              <w:rPr>
                <w:b w:val="0"/>
                <w:bCs/>
              </w:rPr>
              <w:t xml:space="preserve">     Female</w:t>
            </w:r>
          </w:p>
        </w:tc>
        <w:tc>
          <w:tcPr>
            <w:tcW w:w="1008" w:type="dxa"/>
            <w:tcBorders>
              <w:top w:val="nil"/>
              <w:bottom w:val="nil"/>
            </w:tcBorders>
            <w:shd w:val="clear" w:color="auto" w:fill="auto"/>
            <w:noWrap/>
            <w:hideMark/>
          </w:tcPr>
          <w:p w14:paraId="03DDBEB4" w14:textId="69725A0C"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14.47</w:t>
            </w:r>
          </w:p>
        </w:tc>
        <w:tc>
          <w:tcPr>
            <w:tcW w:w="1009" w:type="dxa"/>
            <w:tcBorders>
              <w:top w:val="nil"/>
              <w:bottom w:val="nil"/>
            </w:tcBorders>
            <w:shd w:val="clear" w:color="auto" w:fill="auto"/>
            <w:noWrap/>
            <w:hideMark/>
          </w:tcPr>
          <w:p w14:paraId="6CE9B3EA" w14:textId="7E05577E"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&lt;.0001</w:t>
            </w:r>
          </w:p>
        </w:tc>
        <w:tc>
          <w:tcPr>
            <w:tcW w:w="1009" w:type="dxa"/>
            <w:tcBorders>
              <w:top w:val="nil"/>
              <w:bottom w:val="nil"/>
              <w:right w:val="single" w:sz="4" w:space="0" w:color="auto"/>
            </w:tcBorders>
            <w:shd w:val="clear" w:color="auto" w:fill="auto"/>
            <w:noWrap/>
            <w:hideMark/>
          </w:tcPr>
          <w:p w14:paraId="5CA7FE82" w14:textId="7B01525D"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09" w:type="dxa"/>
            <w:tcBorders>
              <w:top w:val="nil"/>
              <w:left w:val="single" w:sz="4" w:space="0" w:color="auto"/>
              <w:bottom w:val="nil"/>
            </w:tcBorders>
            <w:shd w:val="clear" w:color="auto" w:fill="auto"/>
            <w:noWrap/>
            <w:hideMark/>
          </w:tcPr>
          <w:p w14:paraId="33DBADA6"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11.33</w:t>
            </w:r>
          </w:p>
        </w:tc>
        <w:tc>
          <w:tcPr>
            <w:tcW w:w="1009" w:type="dxa"/>
            <w:tcBorders>
              <w:top w:val="nil"/>
              <w:bottom w:val="nil"/>
            </w:tcBorders>
            <w:shd w:val="clear" w:color="auto" w:fill="auto"/>
            <w:noWrap/>
            <w:hideMark/>
          </w:tcPr>
          <w:p w14:paraId="0DA18CC7"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&lt;.0001</w:t>
            </w:r>
          </w:p>
        </w:tc>
        <w:tc>
          <w:tcPr>
            <w:tcW w:w="1009" w:type="dxa"/>
            <w:tcBorders>
              <w:top w:val="nil"/>
              <w:bottom w:val="nil"/>
            </w:tcBorders>
            <w:shd w:val="clear" w:color="auto" w:fill="auto"/>
            <w:noWrap/>
            <w:vAlign w:val="center"/>
            <w:hideMark/>
          </w:tcPr>
          <w:p w14:paraId="09A26F1C"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r>
      <w:tr w:rsidR="00595D13" w:rsidRPr="00617370" w14:paraId="64920A4A" w14:textId="77777777" w:rsidTr="00C61D9A">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noWrap/>
            <w:hideMark/>
          </w:tcPr>
          <w:p w14:paraId="40726217" w14:textId="77777777" w:rsidR="00F371F7" w:rsidRPr="00617370" w:rsidRDefault="00F371F7">
            <w:pPr>
              <w:pStyle w:val="Tabletext"/>
              <w:rPr>
                <w:b w:val="0"/>
                <w:bCs/>
              </w:rPr>
            </w:pPr>
            <w:r w:rsidRPr="00617370">
              <w:rPr>
                <w:b w:val="0"/>
                <w:bCs/>
              </w:rPr>
              <w:t xml:space="preserve">     (reference: Male)</w:t>
            </w:r>
          </w:p>
        </w:tc>
        <w:tc>
          <w:tcPr>
            <w:tcW w:w="1008" w:type="dxa"/>
            <w:tcBorders>
              <w:top w:val="nil"/>
              <w:bottom w:val="single" w:sz="4" w:space="0" w:color="auto"/>
            </w:tcBorders>
            <w:shd w:val="clear" w:color="auto" w:fill="auto"/>
            <w:noWrap/>
            <w:hideMark/>
          </w:tcPr>
          <w:p w14:paraId="7F29D089"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hideMark/>
          </w:tcPr>
          <w:p w14:paraId="02322337"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right w:val="single" w:sz="4" w:space="0" w:color="auto"/>
            </w:tcBorders>
            <w:shd w:val="clear" w:color="auto" w:fill="auto"/>
            <w:noWrap/>
            <w:vAlign w:val="center"/>
            <w:hideMark/>
          </w:tcPr>
          <w:p w14:paraId="587DA9CE"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left w:val="single" w:sz="4" w:space="0" w:color="auto"/>
              <w:bottom w:val="single" w:sz="4" w:space="0" w:color="auto"/>
            </w:tcBorders>
            <w:shd w:val="clear" w:color="auto" w:fill="auto"/>
            <w:noWrap/>
            <w:hideMark/>
          </w:tcPr>
          <w:p w14:paraId="67E81FD9"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hideMark/>
          </w:tcPr>
          <w:p w14:paraId="4F1ABAC5"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vAlign w:val="center"/>
            <w:hideMark/>
          </w:tcPr>
          <w:p w14:paraId="4F7C09D5"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54575771" w14:textId="77777777" w:rsidTr="00C61D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noWrap/>
            <w:hideMark/>
          </w:tcPr>
          <w:p w14:paraId="51A1B7E3" w14:textId="77777777" w:rsidR="00F371F7" w:rsidRPr="00617370" w:rsidRDefault="00F371F7">
            <w:pPr>
              <w:pStyle w:val="Tabletext"/>
            </w:pPr>
            <w:r w:rsidRPr="00617370">
              <w:t>Indigenous status</w:t>
            </w:r>
          </w:p>
        </w:tc>
        <w:tc>
          <w:tcPr>
            <w:tcW w:w="1008" w:type="dxa"/>
            <w:tcBorders>
              <w:top w:val="single" w:sz="4" w:space="0" w:color="auto"/>
              <w:bottom w:val="nil"/>
            </w:tcBorders>
            <w:shd w:val="clear" w:color="auto" w:fill="auto"/>
            <w:noWrap/>
          </w:tcPr>
          <w:p w14:paraId="441854BC"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tcBorders>
            <w:shd w:val="clear" w:color="auto" w:fill="auto"/>
            <w:noWrap/>
          </w:tcPr>
          <w:p w14:paraId="74777EE5"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right w:val="single" w:sz="4" w:space="0" w:color="auto"/>
            </w:tcBorders>
            <w:shd w:val="clear" w:color="auto" w:fill="auto"/>
            <w:noWrap/>
            <w:vAlign w:val="center"/>
          </w:tcPr>
          <w:p w14:paraId="274C05CA"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left w:val="single" w:sz="4" w:space="0" w:color="auto"/>
              <w:bottom w:val="nil"/>
            </w:tcBorders>
            <w:shd w:val="clear" w:color="auto" w:fill="auto"/>
            <w:noWrap/>
          </w:tcPr>
          <w:p w14:paraId="2A86CDC2"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tcBorders>
            <w:shd w:val="clear" w:color="auto" w:fill="auto"/>
            <w:noWrap/>
          </w:tcPr>
          <w:p w14:paraId="109047DF"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tcBorders>
            <w:shd w:val="clear" w:color="auto" w:fill="auto"/>
            <w:noWrap/>
            <w:vAlign w:val="center"/>
          </w:tcPr>
          <w:p w14:paraId="0A21F8ED"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r>
      <w:tr w:rsidR="00AF7B2C" w:rsidRPr="00617370" w14:paraId="1FEDF004" w14:textId="77777777" w:rsidTr="00595D13">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tcPr>
          <w:p w14:paraId="35C25E7F" w14:textId="77777777" w:rsidR="00AF7B2C" w:rsidRPr="00617370" w:rsidRDefault="00AF7B2C" w:rsidP="00AF7B2C">
            <w:pPr>
              <w:pStyle w:val="Tabletext"/>
              <w:rPr>
                <w:b w:val="0"/>
                <w:bCs/>
              </w:rPr>
            </w:pPr>
            <w:r w:rsidRPr="00617370">
              <w:rPr>
                <w:b w:val="0"/>
                <w:bCs/>
              </w:rPr>
              <w:t xml:space="preserve">     Indigenous</w:t>
            </w:r>
          </w:p>
        </w:tc>
        <w:tc>
          <w:tcPr>
            <w:tcW w:w="1008" w:type="dxa"/>
            <w:tcBorders>
              <w:top w:val="nil"/>
              <w:bottom w:val="nil"/>
            </w:tcBorders>
            <w:shd w:val="clear" w:color="auto" w:fill="auto"/>
            <w:noWrap/>
          </w:tcPr>
          <w:p w14:paraId="7CAFFCCF" w14:textId="6E969462"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-7.78</w:t>
            </w:r>
          </w:p>
        </w:tc>
        <w:tc>
          <w:tcPr>
            <w:tcW w:w="1009" w:type="dxa"/>
            <w:tcBorders>
              <w:top w:val="nil"/>
              <w:bottom w:val="nil"/>
            </w:tcBorders>
            <w:shd w:val="clear" w:color="auto" w:fill="auto"/>
            <w:noWrap/>
          </w:tcPr>
          <w:p w14:paraId="068286C4" w14:textId="7A9BA433"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0.004</w:t>
            </w:r>
          </w:p>
        </w:tc>
        <w:tc>
          <w:tcPr>
            <w:tcW w:w="1009" w:type="dxa"/>
            <w:tcBorders>
              <w:top w:val="nil"/>
              <w:bottom w:val="nil"/>
              <w:right w:val="single" w:sz="4" w:space="0" w:color="auto"/>
            </w:tcBorders>
            <w:shd w:val="clear" w:color="auto" w:fill="auto"/>
            <w:noWrap/>
          </w:tcPr>
          <w:p w14:paraId="5878C087" w14:textId="08F7DEE4"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09" w:type="dxa"/>
            <w:tcBorders>
              <w:top w:val="nil"/>
              <w:left w:val="single" w:sz="4" w:space="0" w:color="auto"/>
              <w:bottom w:val="nil"/>
            </w:tcBorders>
            <w:shd w:val="clear" w:color="auto" w:fill="auto"/>
            <w:noWrap/>
          </w:tcPr>
          <w:p w14:paraId="2B7EE525" w14:textId="77777777"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-4.77</w:t>
            </w:r>
          </w:p>
        </w:tc>
        <w:tc>
          <w:tcPr>
            <w:tcW w:w="1009" w:type="dxa"/>
            <w:tcBorders>
              <w:top w:val="nil"/>
              <w:bottom w:val="nil"/>
            </w:tcBorders>
            <w:shd w:val="clear" w:color="auto" w:fill="auto"/>
            <w:noWrap/>
          </w:tcPr>
          <w:p w14:paraId="3E2977B6" w14:textId="77777777"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0.158</w:t>
            </w:r>
          </w:p>
        </w:tc>
        <w:tc>
          <w:tcPr>
            <w:tcW w:w="1009" w:type="dxa"/>
            <w:tcBorders>
              <w:top w:val="nil"/>
              <w:bottom w:val="nil"/>
            </w:tcBorders>
            <w:shd w:val="clear" w:color="auto" w:fill="auto"/>
            <w:noWrap/>
            <w:vAlign w:val="center"/>
          </w:tcPr>
          <w:p w14:paraId="57E24E98" w14:textId="77777777"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118EBC11" w14:textId="77777777" w:rsidTr="00C61D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noWrap/>
            <w:hideMark/>
          </w:tcPr>
          <w:p w14:paraId="061D9848" w14:textId="77777777" w:rsidR="00F371F7" w:rsidRPr="00617370" w:rsidRDefault="00F371F7">
            <w:pPr>
              <w:pStyle w:val="Tabletext"/>
              <w:rPr>
                <w:b w:val="0"/>
                <w:bCs/>
              </w:rPr>
            </w:pPr>
            <w:r w:rsidRPr="00617370">
              <w:rPr>
                <w:b w:val="0"/>
                <w:bCs/>
              </w:rPr>
              <w:t xml:space="preserve">     (reference: Non-Indigenous)</w:t>
            </w:r>
          </w:p>
        </w:tc>
        <w:tc>
          <w:tcPr>
            <w:tcW w:w="1008" w:type="dxa"/>
            <w:tcBorders>
              <w:top w:val="nil"/>
              <w:bottom w:val="single" w:sz="4" w:space="0" w:color="auto"/>
            </w:tcBorders>
            <w:shd w:val="clear" w:color="auto" w:fill="auto"/>
            <w:noWrap/>
            <w:hideMark/>
          </w:tcPr>
          <w:p w14:paraId="3867B8EE"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bottom w:val="single" w:sz="4" w:space="0" w:color="auto"/>
            </w:tcBorders>
            <w:shd w:val="clear" w:color="auto" w:fill="auto"/>
            <w:noWrap/>
            <w:hideMark/>
          </w:tcPr>
          <w:p w14:paraId="7E2E53D4"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bottom w:val="single" w:sz="4" w:space="0" w:color="auto"/>
              <w:right w:val="single" w:sz="4" w:space="0" w:color="auto"/>
            </w:tcBorders>
            <w:shd w:val="clear" w:color="auto" w:fill="auto"/>
            <w:noWrap/>
            <w:vAlign w:val="center"/>
            <w:hideMark/>
          </w:tcPr>
          <w:p w14:paraId="5252F642"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left w:val="single" w:sz="4" w:space="0" w:color="auto"/>
              <w:bottom w:val="single" w:sz="4" w:space="0" w:color="auto"/>
            </w:tcBorders>
            <w:shd w:val="clear" w:color="auto" w:fill="auto"/>
            <w:noWrap/>
            <w:hideMark/>
          </w:tcPr>
          <w:p w14:paraId="53BE20C3"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bottom w:val="single" w:sz="4" w:space="0" w:color="auto"/>
            </w:tcBorders>
            <w:shd w:val="clear" w:color="auto" w:fill="auto"/>
            <w:noWrap/>
            <w:hideMark/>
          </w:tcPr>
          <w:p w14:paraId="3FFBAA10"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bottom w:val="single" w:sz="4" w:space="0" w:color="auto"/>
            </w:tcBorders>
            <w:shd w:val="clear" w:color="auto" w:fill="auto"/>
            <w:noWrap/>
            <w:vAlign w:val="center"/>
            <w:hideMark/>
          </w:tcPr>
          <w:p w14:paraId="34B7FDC2"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62B9C27F" w14:textId="77777777" w:rsidTr="00C61D9A">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noWrap/>
            <w:hideMark/>
          </w:tcPr>
          <w:p w14:paraId="2BD1A1AF" w14:textId="77777777" w:rsidR="00F371F7" w:rsidRPr="00617370" w:rsidRDefault="00F371F7">
            <w:pPr>
              <w:pStyle w:val="Tabletext"/>
            </w:pPr>
            <w:r w:rsidRPr="00617370">
              <w:t>Language spoken at home</w:t>
            </w:r>
          </w:p>
        </w:tc>
        <w:tc>
          <w:tcPr>
            <w:tcW w:w="1008" w:type="dxa"/>
            <w:tcBorders>
              <w:top w:val="single" w:sz="4" w:space="0" w:color="auto"/>
              <w:bottom w:val="nil"/>
            </w:tcBorders>
            <w:shd w:val="clear" w:color="auto" w:fill="auto"/>
            <w:noWrap/>
          </w:tcPr>
          <w:p w14:paraId="24347152"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shd w:val="clear" w:color="auto" w:fill="auto"/>
            <w:noWrap/>
          </w:tcPr>
          <w:p w14:paraId="0AEC19DA"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right w:val="single" w:sz="4" w:space="0" w:color="auto"/>
            </w:tcBorders>
            <w:shd w:val="clear" w:color="auto" w:fill="auto"/>
            <w:noWrap/>
            <w:vAlign w:val="center"/>
          </w:tcPr>
          <w:p w14:paraId="1EA8897A"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left w:val="single" w:sz="4" w:space="0" w:color="auto"/>
              <w:bottom w:val="nil"/>
            </w:tcBorders>
            <w:shd w:val="clear" w:color="auto" w:fill="auto"/>
            <w:noWrap/>
          </w:tcPr>
          <w:p w14:paraId="42AED986"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shd w:val="clear" w:color="auto" w:fill="auto"/>
            <w:noWrap/>
          </w:tcPr>
          <w:p w14:paraId="48DBB91A"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shd w:val="clear" w:color="auto" w:fill="auto"/>
            <w:noWrap/>
            <w:vAlign w:val="center"/>
          </w:tcPr>
          <w:p w14:paraId="305908F7"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r>
      <w:tr w:rsidR="00AF7B2C" w:rsidRPr="00617370" w14:paraId="3A746789"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tcPr>
          <w:p w14:paraId="0B676904" w14:textId="77777777" w:rsidR="00AF7B2C" w:rsidRPr="00617370" w:rsidRDefault="00AF7B2C" w:rsidP="00AF7B2C">
            <w:pPr>
              <w:pStyle w:val="Tabletext"/>
              <w:rPr>
                <w:b w:val="0"/>
                <w:bCs/>
              </w:rPr>
            </w:pPr>
            <w:r w:rsidRPr="00617370">
              <w:rPr>
                <w:b w:val="0"/>
                <w:bCs/>
              </w:rPr>
              <w:t xml:space="preserve">     Language other than English</w:t>
            </w:r>
          </w:p>
        </w:tc>
        <w:tc>
          <w:tcPr>
            <w:tcW w:w="1008" w:type="dxa"/>
            <w:tcBorders>
              <w:top w:val="nil"/>
              <w:bottom w:val="nil"/>
            </w:tcBorders>
            <w:shd w:val="clear" w:color="auto" w:fill="auto"/>
            <w:noWrap/>
          </w:tcPr>
          <w:p w14:paraId="193480FE" w14:textId="6262C6D9"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9.44</w:t>
            </w:r>
          </w:p>
        </w:tc>
        <w:tc>
          <w:tcPr>
            <w:tcW w:w="1009" w:type="dxa"/>
            <w:tcBorders>
              <w:top w:val="nil"/>
              <w:bottom w:val="nil"/>
            </w:tcBorders>
            <w:shd w:val="clear" w:color="auto" w:fill="auto"/>
            <w:noWrap/>
          </w:tcPr>
          <w:p w14:paraId="0E454F24" w14:textId="1FAF8D5C"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0.0128</w:t>
            </w:r>
          </w:p>
        </w:tc>
        <w:tc>
          <w:tcPr>
            <w:tcW w:w="1009" w:type="dxa"/>
            <w:tcBorders>
              <w:top w:val="nil"/>
              <w:bottom w:val="nil"/>
              <w:right w:val="single" w:sz="4" w:space="0" w:color="auto"/>
            </w:tcBorders>
            <w:shd w:val="clear" w:color="auto" w:fill="auto"/>
            <w:noWrap/>
          </w:tcPr>
          <w:p w14:paraId="13F9DAC4" w14:textId="2CCED320"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09" w:type="dxa"/>
            <w:tcBorders>
              <w:top w:val="nil"/>
              <w:left w:val="single" w:sz="4" w:space="0" w:color="auto"/>
              <w:bottom w:val="nil"/>
            </w:tcBorders>
            <w:shd w:val="clear" w:color="auto" w:fill="auto"/>
            <w:noWrap/>
          </w:tcPr>
          <w:p w14:paraId="734A5E00"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1.75</w:t>
            </w:r>
          </w:p>
        </w:tc>
        <w:tc>
          <w:tcPr>
            <w:tcW w:w="1009" w:type="dxa"/>
            <w:tcBorders>
              <w:top w:val="nil"/>
              <w:bottom w:val="nil"/>
            </w:tcBorders>
            <w:shd w:val="clear" w:color="auto" w:fill="auto"/>
            <w:noWrap/>
          </w:tcPr>
          <w:p w14:paraId="07052D2D"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0.535</w:t>
            </w:r>
          </w:p>
        </w:tc>
        <w:tc>
          <w:tcPr>
            <w:tcW w:w="1009" w:type="dxa"/>
            <w:tcBorders>
              <w:top w:val="nil"/>
              <w:bottom w:val="nil"/>
            </w:tcBorders>
            <w:shd w:val="clear" w:color="auto" w:fill="auto"/>
            <w:noWrap/>
            <w:vAlign w:val="center"/>
          </w:tcPr>
          <w:p w14:paraId="6CA2BE88"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4FAA0195" w14:textId="77777777" w:rsidTr="00C61D9A">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noWrap/>
            <w:hideMark/>
          </w:tcPr>
          <w:p w14:paraId="1EB4BDA0" w14:textId="77777777" w:rsidR="00F371F7" w:rsidRPr="00617370" w:rsidRDefault="00F371F7">
            <w:pPr>
              <w:pStyle w:val="Tabletext"/>
              <w:rPr>
                <w:b w:val="0"/>
                <w:bCs/>
              </w:rPr>
            </w:pPr>
            <w:r w:rsidRPr="00617370">
              <w:rPr>
                <w:b w:val="0"/>
                <w:bCs/>
              </w:rPr>
              <w:t xml:space="preserve">     (reference: English)</w:t>
            </w:r>
          </w:p>
        </w:tc>
        <w:tc>
          <w:tcPr>
            <w:tcW w:w="1008" w:type="dxa"/>
            <w:tcBorders>
              <w:top w:val="nil"/>
              <w:bottom w:val="single" w:sz="4" w:space="0" w:color="auto"/>
            </w:tcBorders>
            <w:shd w:val="clear" w:color="auto" w:fill="auto"/>
            <w:noWrap/>
            <w:hideMark/>
          </w:tcPr>
          <w:p w14:paraId="16DB6836"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hideMark/>
          </w:tcPr>
          <w:p w14:paraId="7A39A539"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right w:val="single" w:sz="4" w:space="0" w:color="auto"/>
            </w:tcBorders>
            <w:shd w:val="clear" w:color="auto" w:fill="auto"/>
            <w:noWrap/>
            <w:vAlign w:val="center"/>
            <w:hideMark/>
          </w:tcPr>
          <w:p w14:paraId="10847219"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left w:val="single" w:sz="4" w:space="0" w:color="auto"/>
              <w:bottom w:val="single" w:sz="4" w:space="0" w:color="auto"/>
            </w:tcBorders>
            <w:shd w:val="clear" w:color="auto" w:fill="auto"/>
            <w:noWrap/>
            <w:hideMark/>
          </w:tcPr>
          <w:p w14:paraId="4419DC42"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hideMark/>
          </w:tcPr>
          <w:p w14:paraId="2F23AC24"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vAlign w:val="center"/>
            <w:hideMark/>
          </w:tcPr>
          <w:p w14:paraId="068FA498" w14:textId="77777777" w:rsidR="00F371F7" w:rsidRPr="00617370" w:rsidRDefault="00F371F7">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7EF8AD35" w14:textId="77777777" w:rsidTr="00C61D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noWrap/>
            <w:hideMark/>
          </w:tcPr>
          <w:p w14:paraId="480B8AF8" w14:textId="2C9D7AEA" w:rsidR="00F371F7" w:rsidRPr="00617370" w:rsidRDefault="00F371F7">
            <w:pPr>
              <w:pStyle w:val="Tabletext"/>
            </w:pPr>
            <w:r w:rsidRPr="00617370">
              <w:t>Socioeconomic status (quintiles)</w:t>
            </w:r>
          </w:p>
        </w:tc>
        <w:tc>
          <w:tcPr>
            <w:tcW w:w="1008" w:type="dxa"/>
            <w:tcBorders>
              <w:top w:val="single" w:sz="4" w:space="0" w:color="auto"/>
              <w:bottom w:val="nil"/>
            </w:tcBorders>
            <w:shd w:val="clear" w:color="auto" w:fill="auto"/>
            <w:noWrap/>
            <w:hideMark/>
          </w:tcPr>
          <w:p w14:paraId="7DDF1DC3"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rPr>
                <w:bCs/>
              </w:rPr>
            </w:pPr>
          </w:p>
        </w:tc>
        <w:tc>
          <w:tcPr>
            <w:tcW w:w="1009" w:type="dxa"/>
            <w:tcBorders>
              <w:top w:val="single" w:sz="4" w:space="0" w:color="auto"/>
              <w:bottom w:val="nil"/>
            </w:tcBorders>
            <w:shd w:val="clear" w:color="auto" w:fill="auto"/>
            <w:noWrap/>
            <w:hideMark/>
          </w:tcPr>
          <w:p w14:paraId="7385C197"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right w:val="single" w:sz="4" w:space="0" w:color="auto"/>
            </w:tcBorders>
            <w:shd w:val="clear" w:color="auto" w:fill="auto"/>
            <w:noWrap/>
            <w:vAlign w:val="center"/>
            <w:hideMark/>
          </w:tcPr>
          <w:p w14:paraId="6D60B284"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left w:val="single" w:sz="4" w:space="0" w:color="auto"/>
              <w:bottom w:val="nil"/>
            </w:tcBorders>
            <w:shd w:val="clear" w:color="auto" w:fill="auto"/>
            <w:noWrap/>
            <w:hideMark/>
          </w:tcPr>
          <w:p w14:paraId="31AD6B1D"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tcBorders>
            <w:shd w:val="clear" w:color="auto" w:fill="auto"/>
            <w:noWrap/>
            <w:hideMark/>
          </w:tcPr>
          <w:p w14:paraId="64F3066F"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single" w:sz="4" w:space="0" w:color="auto"/>
              <w:bottom w:val="nil"/>
            </w:tcBorders>
            <w:shd w:val="clear" w:color="auto" w:fill="auto"/>
            <w:noWrap/>
            <w:vAlign w:val="center"/>
            <w:hideMark/>
          </w:tcPr>
          <w:p w14:paraId="5A4AB46D" w14:textId="77777777" w:rsidR="00F371F7" w:rsidRPr="00617370" w:rsidRDefault="00F371F7">
            <w:pPr>
              <w:pStyle w:val="Tabletext"/>
              <w:jc w:val="center"/>
              <w:cnfStyle w:val="000000100000" w:firstRow="0" w:lastRow="0" w:firstColumn="0" w:lastColumn="0" w:oddVBand="0" w:evenVBand="0" w:oddHBand="1" w:evenHBand="0" w:firstRowFirstColumn="0" w:firstRowLastColumn="0" w:lastRowFirstColumn="0" w:lastRowLastColumn="0"/>
            </w:pPr>
          </w:p>
        </w:tc>
      </w:tr>
      <w:tr w:rsidR="00AF7B2C" w:rsidRPr="00617370" w14:paraId="16F8D73C" w14:textId="77777777" w:rsidTr="00595D13">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hideMark/>
          </w:tcPr>
          <w:p w14:paraId="2519D4E0" w14:textId="386A1FF9" w:rsidR="00AF7B2C" w:rsidRPr="00617370" w:rsidRDefault="00AF7B2C" w:rsidP="00AF7B2C">
            <w:pPr>
              <w:pStyle w:val="Tabletext"/>
              <w:rPr>
                <w:b w:val="0"/>
                <w:bCs/>
              </w:rPr>
            </w:pPr>
            <w:r w:rsidRPr="00617370">
              <w:rPr>
                <w:b w:val="0"/>
                <w:bCs/>
              </w:rPr>
              <w:t xml:space="preserve">     Second quintile</w:t>
            </w:r>
          </w:p>
        </w:tc>
        <w:tc>
          <w:tcPr>
            <w:tcW w:w="1008" w:type="dxa"/>
            <w:tcBorders>
              <w:top w:val="nil"/>
              <w:bottom w:val="nil"/>
            </w:tcBorders>
            <w:shd w:val="clear" w:color="auto" w:fill="auto"/>
            <w:noWrap/>
            <w:hideMark/>
          </w:tcPr>
          <w:p w14:paraId="6B084A59" w14:textId="2231CC1B"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-75.73</w:t>
            </w:r>
          </w:p>
        </w:tc>
        <w:tc>
          <w:tcPr>
            <w:tcW w:w="1009" w:type="dxa"/>
            <w:tcBorders>
              <w:top w:val="nil"/>
              <w:bottom w:val="nil"/>
            </w:tcBorders>
            <w:shd w:val="clear" w:color="auto" w:fill="auto"/>
            <w:noWrap/>
            <w:hideMark/>
          </w:tcPr>
          <w:p w14:paraId="38192248" w14:textId="3E7B62D6"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0.083</w:t>
            </w:r>
          </w:p>
        </w:tc>
        <w:tc>
          <w:tcPr>
            <w:tcW w:w="1009" w:type="dxa"/>
            <w:tcBorders>
              <w:top w:val="nil"/>
              <w:bottom w:val="nil"/>
              <w:right w:val="single" w:sz="4" w:space="0" w:color="auto"/>
            </w:tcBorders>
            <w:shd w:val="clear" w:color="auto" w:fill="auto"/>
            <w:noWrap/>
            <w:hideMark/>
          </w:tcPr>
          <w:p w14:paraId="3744F800" w14:textId="1E8B8822"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left w:val="single" w:sz="4" w:space="0" w:color="auto"/>
              <w:bottom w:val="nil"/>
            </w:tcBorders>
            <w:shd w:val="clear" w:color="auto" w:fill="auto"/>
            <w:noWrap/>
            <w:hideMark/>
          </w:tcPr>
          <w:p w14:paraId="6BEAFBA7" w14:textId="0C012DD4"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11.75</w:t>
            </w:r>
          </w:p>
        </w:tc>
        <w:tc>
          <w:tcPr>
            <w:tcW w:w="1009" w:type="dxa"/>
            <w:tcBorders>
              <w:top w:val="nil"/>
              <w:bottom w:val="nil"/>
            </w:tcBorders>
            <w:shd w:val="clear" w:color="auto" w:fill="auto"/>
            <w:noWrap/>
            <w:hideMark/>
          </w:tcPr>
          <w:p w14:paraId="30C525D6" w14:textId="2447E3ED"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0.859</w:t>
            </w:r>
          </w:p>
        </w:tc>
        <w:tc>
          <w:tcPr>
            <w:tcW w:w="1009" w:type="dxa"/>
            <w:tcBorders>
              <w:top w:val="nil"/>
              <w:bottom w:val="nil"/>
            </w:tcBorders>
            <w:shd w:val="clear" w:color="auto" w:fill="auto"/>
            <w:noWrap/>
            <w:vAlign w:val="center"/>
            <w:hideMark/>
          </w:tcPr>
          <w:p w14:paraId="16495970" w14:textId="77777777"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p>
        </w:tc>
      </w:tr>
      <w:tr w:rsidR="00AF7B2C" w:rsidRPr="00617370" w14:paraId="54007576"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tcPr>
          <w:p w14:paraId="6365DF74" w14:textId="74FFC0A1" w:rsidR="00AF7B2C" w:rsidRPr="00617370" w:rsidRDefault="00AF7B2C" w:rsidP="00AF7B2C">
            <w:pPr>
              <w:pStyle w:val="Tabletext"/>
              <w:rPr>
                <w:b w:val="0"/>
                <w:bCs/>
              </w:rPr>
            </w:pPr>
            <w:r w:rsidRPr="00617370">
              <w:rPr>
                <w:b w:val="0"/>
                <w:bCs/>
              </w:rPr>
              <w:t xml:space="preserve">     Third quintile</w:t>
            </w:r>
          </w:p>
        </w:tc>
        <w:tc>
          <w:tcPr>
            <w:tcW w:w="1008" w:type="dxa"/>
            <w:tcBorders>
              <w:top w:val="nil"/>
              <w:bottom w:val="nil"/>
            </w:tcBorders>
            <w:shd w:val="clear" w:color="auto" w:fill="auto"/>
            <w:noWrap/>
          </w:tcPr>
          <w:p w14:paraId="563A49FE" w14:textId="0B848026"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-34.28</w:t>
            </w:r>
          </w:p>
        </w:tc>
        <w:tc>
          <w:tcPr>
            <w:tcW w:w="1009" w:type="dxa"/>
            <w:tcBorders>
              <w:top w:val="nil"/>
              <w:bottom w:val="nil"/>
            </w:tcBorders>
            <w:shd w:val="clear" w:color="auto" w:fill="auto"/>
            <w:noWrap/>
          </w:tcPr>
          <w:p w14:paraId="153581D9" w14:textId="0977EAE4"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0.4449</w:t>
            </w:r>
          </w:p>
        </w:tc>
        <w:tc>
          <w:tcPr>
            <w:tcW w:w="1009" w:type="dxa"/>
            <w:tcBorders>
              <w:top w:val="nil"/>
              <w:bottom w:val="nil"/>
              <w:right w:val="single" w:sz="4" w:space="0" w:color="auto"/>
            </w:tcBorders>
            <w:shd w:val="clear" w:color="auto" w:fill="auto"/>
            <w:noWrap/>
          </w:tcPr>
          <w:p w14:paraId="40C31CE0" w14:textId="587AEED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left w:val="single" w:sz="4" w:space="0" w:color="auto"/>
              <w:bottom w:val="nil"/>
            </w:tcBorders>
            <w:shd w:val="clear" w:color="auto" w:fill="auto"/>
            <w:noWrap/>
          </w:tcPr>
          <w:p w14:paraId="18379C50" w14:textId="13E02388"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-3.19</w:t>
            </w:r>
          </w:p>
        </w:tc>
        <w:tc>
          <w:tcPr>
            <w:tcW w:w="1009" w:type="dxa"/>
            <w:tcBorders>
              <w:top w:val="nil"/>
              <w:bottom w:val="nil"/>
            </w:tcBorders>
            <w:shd w:val="clear" w:color="auto" w:fill="auto"/>
            <w:noWrap/>
          </w:tcPr>
          <w:p w14:paraId="287461DC" w14:textId="18BFD3C1"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0.965</w:t>
            </w:r>
          </w:p>
        </w:tc>
        <w:tc>
          <w:tcPr>
            <w:tcW w:w="1009" w:type="dxa"/>
            <w:tcBorders>
              <w:top w:val="nil"/>
              <w:bottom w:val="nil"/>
            </w:tcBorders>
            <w:shd w:val="clear" w:color="auto" w:fill="auto"/>
            <w:noWrap/>
            <w:vAlign w:val="center"/>
            <w:hideMark/>
          </w:tcPr>
          <w:p w14:paraId="13DB02A0"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p>
        </w:tc>
      </w:tr>
      <w:tr w:rsidR="00AF7B2C" w:rsidRPr="00617370" w14:paraId="5F61ECDF" w14:textId="77777777" w:rsidTr="00595D13">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tcPr>
          <w:p w14:paraId="30A718B1" w14:textId="122B4133" w:rsidR="00AF7B2C" w:rsidRPr="00617370" w:rsidRDefault="00AF7B2C" w:rsidP="00AF7B2C">
            <w:pPr>
              <w:pStyle w:val="Tabletext"/>
              <w:rPr>
                <w:b w:val="0"/>
                <w:bCs/>
              </w:rPr>
            </w:pPr>
            <w:r w:rsidRPr="00617370">
              <w:rPr>
                <w:b w:val="0"/>
                <w:bCs/>
              </w:rPr>
              <w:t xml:space="preserve">     Fourth quintile</w:t>
            </w:r>
          </w:p>
        </w:tc>
        <w:tc>
          <w:tcPr>
            <w:tcW w:w="1008" w:type="dxa"/>
            <w:tcBorders>
              <w:top w:val="nil"/>
              <w:bottom w:val="nil"/>
            </w:tcBorders>
            <w:shd w:val="clear" w:color="auto" w:fill="auto"/>
            <w:noWrap/>
          </w:tcPr>
          <w:p w14:paraId="156B1C90" w14:textId="77767EE7"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-125.35</w:t>
            </w:r>
          </w:p>
        </w:tc>
        <w:tc>
          <w:tcPr>
            <w:tcW w:w="1009" w:type="dxa"/>
            <w:tcBorders>
              <w:top w:val="nil"/>
              <w:bottom w:val="nil"/>
            </w:tcBorders>
            <w:shd w:val="clear" w:color="auto" w:fill="auto"/>
            <w:noWrap/>
          </w:tcPr>
          <w:p w14:paraId="4933871F" w14:textId="538AE5E8"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0.0218</w:t>
            </w:r>
          </w:p>
        </w:tc>
        <w:tc>
          <w:tcPr>
            <w:tcW w:w="1009" w:type="dxa"/>
            <w:tcBorders>
              <w:top w:val="nil"/>
              <w:bottom w:val="nil"/>
              <w:right w:val="single" w:sz="4" w:space="0" w:color="auto"/>
            </w:tcBorders>
            <w:shd w:val="clear" w:color="auto" w:fill="auto"/>
            <w:noWrap/>
          </w:tcPr>
          <w:p w14:paraId="58D37CB0" w14:textId="0DE4A7ED"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09" w:type="dxa"/>
            <w:tcBorders>
              <w:top w:val="nil"/>
              <w:left w:val="single" w:sz="4" w:space="0" w:color="auto"/>
              <w:bottom w:val="nil"/>
            </w:tcBorders>
            <w:shd w:val="clear" w:color="auto" w:fill="auto"/>
            <w:noWrap/>
          </w:tcPr>
          <w:p w14:paraId="44635044" w14:textId="48331E68"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-22.49</w:t>
            </w:r>
          </w:p>
        </w:tc>
        <w:tc>
          <w:tcPr>
            <w:tcW w:w="1009" w:type="dxa"/>
            <w:tcBorders>
              <w:top w:val="nil"/>
              <w:bottom w:val="nil"/>
            </w:tcBorders>
            <w:shd w:val="clear" w:color="auto" w:fill="auto"/>
            <w:noWrap/>
          </w:tcPr>
          <w:p w14:paraId="310B22DC" w14:textId="6C226188"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r w:rsidRPr="00617370">
              <w:t>0.767</w:t>
            </w:r>
          </w:p>
        </w:tc>
        <w:tc>
          <w:tcPr>
            <w:tcW w:w="1009" w:type="dxa"/>
            <w:tcBorders>
              <w:top w:val="nil"/>
              <w:bottom w:val="nil"/>
            </w:tcBorders>
            <w:shd w:val="clear" w:color="auto" w:fill="auto"/>
            <w:noWrap/>
            <w:vAlign w:val="center"/>
            <w:hideMark/>
          </w:tcPr>
          <w:p w14:paraId="134529D1" w14:textId="77777777" w:rsidR="00AF7B2C" w:rsidRPr="00617370" w:rsidRDefault="00AF7B2C" w:rsidP="00AF7B2C">
            <w:pPr>
              <w:pStyle w:val="Tabletext"/>
              <w:jc w:val="center"/>
              <w:cnfStyle w:val="000000000000" w:firstRow="0" w:lastRow="0" w:firstColumn="0" w:lastColumn="0" w:oddVBand="0" w:evenVBand="0" w:oddHBand="0" w:evenHBand="0" w:firstRowFirstColumn="0" w:firstRowLastColumn="0" w:lastRowFirstColumn="0" w:lastRowLastColumn="0"/>
            </w:pPr>
          </w:p>
        </w:tc>
      </w:tr>
      <w:tr w:rsidR="00AF7B2C" w:rsidRPr="00617370" w14:paraId="232EB688"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tcPr>
          <w:p w14:paraId="4AC91ED2" w14:textId="7E0491DE" w:rsidR="00AF7B2C" w:rsidRPr="00617370" w:rsidRDefault="00AF7B2C" w:rsidP="00AF7B2C">
            <w:pPr>
              <w:pStyle w:val="Tabletext"/>
              <w:rPr>
                <w:b w:val="0"/>
                <w:bCs/>
              </w:rPr>
            </w:pPr>
            <w:r w:rsidRPr="00617370">
              <w:rPr>
                <w:b w:val="0"/>
                <w:bCs/>
              </w:rPr>
              <w:t xml:space="preserve">     Highest quintile</w:t>
            </w:r>
          </w:p>
        </w:tc>
        <w:tc>
          <w:tcPr>
            <w:tcW w:w="1008" w:type="dxa"/>
            <w:tcBorders>
              <w:top w:val="nil"/>
              <w:bottom w:val="nil"/>
            </w:tcBorders>
            <w:shd w:val="clear" w:color="auto" w:fill="auto"/>
            <w:noWrap/>
          </w:tcPr>
          <w:p w14:paraId="20B04924" w14:textId="731EE488"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-126.97</w:t>
            </w:r>
          </w:p>
        </w:tc>
        <w:tc>
          <w:tcPr>
            <w:tcW w:w="1009" w:type="dxa"/>
            <w:tcBorders>
              <w:top w:val="nil"/>
              <w:bottom w:val="nil"/>
            </w:tcBorders>
            <w:shd w:val="clear" w:color="auto" w:fill="auto"/>
            <w:noWrap/>
          </w:tcPr>
          <w:p w14:paraId="25F29E4E" w14:textId="35513540"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0.0495</w:t>
            </w:r>
          </w:p>
        </w:tc>
        <w:tc>
          <w:tcPr>
            <w:tcW w:w="1009" w:type="dxa"/>
            <w:tcBorders>
              <w:top w:val="nil"/>
              <w:bottom w:val="nil"/>
              <w:right w:val="single" w:sz="4" w:space="0" w:color="auto"/>
            </w:tcBorders>
            <w:shd w:val="clear" w:color="auto" w:fill="auto"/>
            <w:noWrap/>
          </w:tcPr>
          <w:p w14:paraId="67AFE0F6" w14:textId="1F5D4D83"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09" w:type="dxa"/>
            <w:tcBorders>
              <w:top w:val="nil"/>
              <w:left w:val="single" w:sz="4" w:space="0" w:color="auto"/>
              <w:bottom w:val="nil"/>
            </w:tcBorders>
            <w:shd w:val="clear" w:color="auto" w:fill="auto"/>
            <w:noWrap/>
          </w:tcPr>
          <w:p w14:paraId="61563A45" w14:textId="2A2E456C"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10.11</w:t>
            </w:r>
          </w:p>
        </w:tc>
        <w:tc>
          <w:tcPr>
            <w:tcW w:w="1009" w:type="dxa"/>
            <w:tcBorders>
              <w:top w:val="nil"/>
              <w:bottom w:val="nil"/>
            </w:tcBorders>
            <w:shd w:val="clear" w:color="auto" w:fill="auto"/>
            <w:noWrap/>
          </w:tcPr>
          <w:p w14:paraId="44066167" w14:textId="4C2A14E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r w:rsidRPr="00617370">
              <w:t>0.901</w:t>
            </w:r>
          </w:p>
        </w:tc>
        <w:tc>
          <w:tcPr>
            <w:tcW w:w="1009" w:type="dxa"/>
            <w:tcBorders>
              <w:top w:val="nil"/>
              <w:bottom w:val="nil"/>
            </w:tcBorders>
            <w:shd w:val="clear" w:color="auto" w:fill="auto"/>
            <w:noWrap/>
            <w:vAlign w:val="center"/>
            <w:hideMark/>
          </w:tcPr>
          <w:p w14:paraId="43D37B51" w14:textId="77777777" w:rsidR="00AF7B2C" w:rsidRPr="00617370" w:rsidRDefault="00AF7B2C" w:rsidP="00AF7B2C">
            <w:pPr>
              <w:pStyle w:val="Tabletext"/>
              <w:jc w:val="center"/>
              <w:cnfStyle w:val="000000100000" w:firstRow="0" w:lastRow="0" w:firstColumn="0" w:lastColumn="0" w:oddVBand="0" w:evenVBand="0" w:oddHBand="1" w:evenHBand="0" w:firstRowFirstColumn="0" w:firstRowLastColumn="0" w:lastRowFirstColumn="0" w:lastRowLastColumn="0"/>
            </w:pPr>
          </w:p>
        </w:tc>
      </w:tr>
      <w:tr w:rsidR="00595D13" w:rsidRPr="00617370" w14:paraId="1919757F" w14:textId="77777777" w:rsidTr="00C61D9A">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noWrap/>
          </w:tcPr>
          <w:p w14:paraId="521D4CA8" w14:textId="0570C580" w:rsidR="00BB7D78" w:rsidRPr="00617370" w:rsidRDefault="00BB7D78" w:rsidP="00BB7D78">
            <w:pPr>
              <w:pStyle w:val="Tabletext"/>
              <w:rPr>
                <w:b w:val="0"/>
                <w:bCs/>
              </w:rPr>
            </w:pPr>
            <w:r w:rsidRPr="00617370">
              <w:rPr>
                <w:b w:val="0"/>
                <w:bCs/>
              </w:rPr>
              <w:t xml:space="preserve">     (reference: Lowest quintile)</w:t>
            </w:r>
          </w:p>
        </w:tc>
        <w:tc>
          <w:tcPr>
            <w:tcW w:w="1008" w:type="dxa"/>
            <w:tcBorders>
              <w:top w:val="nil"/>
              <w:bottom w:val="single" w:sz="4" w:space="0" w:color="auto"/>
            </w:tcBorders>
            <w:shd w:val="clear" w:color="auto" w:fill="auto"/>
            <w:noWrap/>
          </w:tcPr>
          <w:p w14:paraId="4912AD49" w14:textId="2A8786CD"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tcPr>
          <w:p w14:paraId="6C8EA4B4" w14:textId="1FEB8CDC"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right w:val="single" w:sz="4" w:space="0" w:color="auto"/>
            </w:tcBorders>
            <w:shd w:val="clear" w:color="auto" w:fill="auto"/>
            <w:noWrap/>
            <w:vAlign w:val="center"/>
          </w:tcPr>
          <w:p w14:paraId="37518FC4" w14:textId="6BBBD51C"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left w:val="single" w:sz="4" w:space="0" w:color="auto"/>
              <w:bottom w:val="single" w:sz="4" w:space="0" w:color="auto"/>
            </w:tcBorders>
            <w:shd w:val="clear" w:color="auto" w:fill="auto"/>
            <w:noWrap/>
          </w:tcPr>
          <w:p w14:paraId="4F052E24" w14:textId="56829C8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tcPr>
          <w:p w14:paraId="14C7F00D" w14:textId="4C8CF43D"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bottom w:val="single" w:sz="4" w:space="0" w:color="auto"/>
            </w:tcBorders>
            <w:shd w:val="clear" w:color="auto" w:fill="auto"/>
            <w:noWrap/>
            <w:vAlign w:val="center"/>
            <w:hideMark/>
          </w:tcPr>
          <w:p w14:paraId="5550D573"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r>
      <w:tr w:rsidR="00595D13" w:rsidRPr="00617370" w14:paraId="048F70CE"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noWrap/>
            <w:vAlign w:val="center"/>
            <w:hideMark/>
          </w:tcPr>
          <w:p w14:paraId="00BD3F04" w14:textId="785A63EE" w:rsidR="00704D32" w:rsidRPr="00617370" w:rsidRDefault="00704D32" w:rsidP="00704D32">
            <w:pPr>
              <w:pStyle w:val="Tabletext"/>
              <w:jc w:val="left"/>
            </w:pPr>
            <w:r w:rsidRPr="00617370">
              <w:t xml:space="preserve">NAPLAN achievement scores </w:t>
            </w:r>
            <w:r w:rsidRPr="00617370">
              <w:rPr>
                <w:b w:val="0"/>
                <w:bCs/>
              </w:rPr>
              <w:t>(at the lowest SES quintile)</w:t>
            </w:r>
          </w:p>
        </w:tc>
        <w:tc>
          <w:tcPr>
            <w:tcW w:w="1008" w:type="dxa"/>
            <w:tcBorders>
              <w:top w:val="single" w:sz="4" w:space="0" w:color="auto"/>
              <w:bottom w:val="single" w:sz="4" w:space="0" w:color="auto"/>
            </w:tcBorders>
            <w:shd w:val="clear" w:color="auto" w:fill="auto"/>
            <w:noWrap/>
            <w:vAlign w:val="center"/>
            <w:hideMark/>
          </w:tcPr>
          <w:p w14:paraId="77272091" w14:textId="31DCA008"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45.64</w:t>
            </w:r>
          </w:p>
        </w:tc>
        <w:tc>
          <w:tcPr>
            <w:tcW w:w="1009" w:type="dxa"/>
            <w:tcBorders>
              <w:top w:val="single" w:sz="4" w:space="0" w:color="auto"/>
              <w:bottom w:val="single" w:sz="4" w:space="0" w:color="auto"/>
            </w:tcBorders>
            <w:shd w:val="clear" w:color="auto" w:fill="auto"/>
            <w:noWrap/>
            <w:vAlign w:val="center"/>
            <w:hideMark/>
          </w:tcPr>
          <w:p w14:paraId="331949A6" w14:textId="6E28E443"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&lt;.0001</w:t>
            </w:r>
          </w:p>
        </w:tc>
        <w:tc>
          <w:tcPr>
            <w:tcW w:w="1009" w:type="dxa"/>
            <w:tcBorders>
              <w:top w:val="single" w:sz="4" w:space="0" w:color="auto"/>
              <w:bottom w:val="single" w:sz="4" w:space="0" w:color="auto"/>
              <w:right w:val="single" w:sz="4" w:space="0" w:color="auto"/>
            </w:tcBorders>
            <w:shd w:val="clear" w:color="auto" w:fill="auto"/>
            <w:noWrap/>
            <w:vAlign w:val="center"/>
            <w:hideMark/>
          </w:tcPr>
          <w:p w14:paraId="6C2B24C4" w14:textId="269F60F0"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09" w:type="dxa"/>
            <w:tcBorders>
              <w:top w:val="single" w:sz="4" w:space="0" w:color="auto"/>
              <w:left w:val="single" w:sz="4" w:space="0" w:color="auto"/>
              <w:bottom w:val="single" w:sz="4" w:space="0" w:color="auto"/>
            </w:tcBorders>
            <w:shd w:val="clear" w:color="auto" w:fill="auto"/>
            <w:noWrap/>
            <w:vAlign w:val="center"/>
            <w:hideMark/>
          </w:tcPr>
          <w:p w14:paraId="4E2E6DA3"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51.07</w:t>
            </w:r>
          </w:p>
        </w:tc>
        <w:tc>
          <w:tcPr>
            <w:tcW w:w="1009" w:type="dxa"/>
            <w:tcBorders>
              <w:top w:val="single" w:sz="4" w:space="0" w:color="auto"/>
              <w:bottom w:val="single" w:sz="4" w:space="0" w:color="auto"/>
            </w:tcBorders>
            <w:shd w:val="clear" w:color="auto" w:fill="auto"/>
            <w:noWrap/>
            <w:vAlign w:val="center"/>
            <w:hideMark/>
          </w:tcPr>
          <w:p w14:paraId="6630D88F"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0.000</w:t>
            </w:r>
          </w:p>
        </w:tc>
        <w:tc>
          <w:tcPr>
            <w:tcW w:w="1009" w:type="dxa"/>
            <w:tcBorders>
              <w:top w:val="single" w:sz="4" w:space="0" w:color="auto"/>
              <w:bottom w:val="single" w:sz="4" w:space="0" w:color="auto"/>
            </w:tcBorders>
            <w:shd w:val="clear" w:color="auto" w:fill="auto"/>
            <w:noWrap/>
            <w:vAlign w:val="center"/>
            <w:hideMark/>
          </w:tcPr>
          <w:p w14:paraId="7AF0D7B0" w14:textId="77777777" w:rsidR="00704D32" w:rsidRPr="00617370" w:rsidRDefault="00704D32" w:rsidP="00121120">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r>
      <w:tr w:rsidR="00595D13" w:rsidRPr="00617370" w14:paraId="374E3A42" w14:textId="77777777" w:rsidTr="00C61D9A">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noWrap/>
            <w:hideMark/>
          </w:tcPr>
          <w:p w14:paraId="0DE737AD" w14:textId="12D16E76" w:rsidR="00BB7D78" w:rsidRPr="00617370" w:rsidRDefault="00BB7D78" w:rsidP="00CB1F9F">
            <w:pPr>
              <w:pStyle w:val="Tabletext"/>
              <w:jc w:val="left"/>
            </w:pPr>
            <w:r w:rsidRPr="00617370">
              <w:t>NAPLAN achievement scores</w:t>
            </w:r>
            <w:r w:rsidR="00C61D9A" w:rsidRPr="00617370">
              <w:t xml:space="preserve"> x </w:t>
            </w:r>
            <w:r w:rsidRPr="00617370">
              <w:t xml:space="preserve">SES </w:t>
            </w:r>
            <w:r w:rsidRPr="00617370">
              <w:rPr>
                <w:b w:val="0"/>
                <w:bCs/>
              </w:rPr>
              <w:t>(</w:t>
            </w:r>
            <w:r w:rsidR="003362B6" w:rsidRPr="00617370">
              <w:rPr>
                <w:b w:val="0"/>
                <w:bCs/>
              </w:rPr>
              <w:t>reference: lowest quintile</w:t>
            </w:r>
            <w:r w:rsidRPr="00617370">
              <w:rPr>
                <w:b w:val="0"/>
                <w:bCs/>
              </w:rPr>
              <w:t>)</w:t>
            </w:r>
          </w:p>
        </w:tc>
        <w:tc>
          <w:tcPr>
            <w:tcW w:w="1008" w:type="dxa"/>
            <w:tcBorders>
              <w:top w:val="single" w:sz="4" w:space="0" w:color="auto"/>
              <w:bottom w:val="nil"/>
            </w:tcBorders>
            <w:shd w:val="clear" w:color="auto" w:fill="auto"/>
            <w:noWrap/>
            <w:hideMark/>
          </w:tcPr>
          <w:p w14:paraId="7A4F9B18"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rPr>
                <w:bCs/>
              </w:rPr>
            </w:pPr>
          </w:p>
        </w:tc>
        <w:tc>
          <w:tcPr>
            <w:tcW w:w="1009" w:type="dxa"/>
            <w:tcBorders>
              <w:top w:val="single" w:sz="4" w:space="0" w:color="auto"/>
              <w:bottom w:val="nil"/>
            </w:tcBorders>
            <w:shd w:val="clear" w:color="auto" w:fill="auto"/>
            <w:noWrap/>
            <w:hideMark/>
          </w:tcPr>
          <w:p w14:paraId="5AFDF136"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right w:val="single" w:sz="4" w:space="0" w:color="auto"/>
            </w:tcBorders>
            <w:shd w:val="clear" w:color="auto" w:fill="auto"/>
            <w:noWrap/>
            <w:vAlign w:val="center"/>
            <w:hideMark/>
          </w:tcPr>
          <w:p w14:paraId="5B1B8A72"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left w:val="single" w:sz="4" w:space="0" w:color="auto"/>
              <w:bottom w:val="nil"/>
            </w:tcBorders>
            <w:shd w:val="clear" w:color="auto" w:fill="auto"/>
            <w:noWrap/>
            <w:hideMark/>
          </w:tcPr>
          <w:p w14:paraId="4A9B0B7C"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shd w:val="clear" w:color="auto" w:fill="auto"/>
            <w:noWrap/>
            <w:hideMark/>
          </w:tcPr>
          <w:p w14:paraId="3914663E"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single" w:sz="4" w:space="0" w:color="auto"/>
              <w:bottom w:val="nil"/>
            </w:tcBorders>
            <w:shd w:val="clear" w:color="auto" w:fill="auto"/>
            <w:noWrap/>
            <w:vAlign w:val="center"/>
            <w:hideMark/>
          </w:tcPr>
          <w:p w14:paraId="5EA33C54" w14:textId="77777777" w:rsidR="00BB7D78" w:rsidRPr="00617370" w:rsidRDefault="00BB7D78" w:rsidP="00BB7D78">
            <w:pPr>
              <w:pStyle w:val="Tabletext"/>
              <w:jc w:val="center"/>
              <w:cnfStyle w:val="000000000000" w:firstRow="0" w:lastRow="0" w:firstColumn="0" w:lastColumn="0" w:oddVBand="0" w:evenVBand="0" w:oddHBand="0" w:evenHBand="0" w:firstRowFirstColumn="0" w:firstRowLastColumn="0" w:lastRowFirstColumn="0" w:lastRowLastColumn="0"/>
            </w:pPr>
          </w:p>
        </w:tc>
      </w:tr>
      <w:tr w:rsidR="00704D32" w:rsidRPr="00617370" w14:paraId="0FA55F52"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hideMark/>
          </w:tcPr>
          <w:p w14:paraId="4F1DC45A" w14:textId="77777777" w:rsidR="00704D32" w:rsidRPr="00617370" w:rsidRDefault="00704D32" w:rsidP="00704D32">
            <w:pPr>
              <w:pStyle w:val="Tabletext"/>
              <w:rPr>
                <w:b w:val="0"/>
                <w:bCs/>
              </w:rPr>
            </w:pPr>
            <w:r w:rsidRPr="00617370">
              <w:rPr>
                <w:b w:val="0"/>
                <w:bCs/>
              </w:rPr>
              <w:t xml:space="preserve">     Second quintile</w:t>
            </w:r>
          </w:p>
        </w:tc>
        <w:tc>
          <w:tcPr>
            <w:tcW w:w="1008" w:type="dxa"/>
            <w:tcBorders>
              <w:top w:val="nil"/>
              <w:bottom w:val="nil"/>
            </w:tcBorders>
            <w:shd w:val="clear" w:color="auto" w:fill="auto"/>
            <w:noWrap/>
            <w:hideMark/>
          </w:tcPr>
          <w:p w14:paraId="44028A62" w14:textId="51807649"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82.31</w:t>
            </w:r>
          </w:p>
        </w:tc>
        <w:tc>
          <w:tcPr>
            <w:tcW w:w="1009" w:type="dxa"/>
            <w:tcBorders>
              <w:top w:val="nil"/>
              <w:bottom w:val="nil"/>
            </w:tcBorders>
            <w:shd w:val="clear" w:color="auto" w:fill="auto"/>
            <w:noWrap/>
            <w:hideMark/>
          </w:tcPr>
          <w:p w14:paraId="3083BBB4" w14:textId="5C3F45DD"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0.0724</w:t>
            </w:r>
          </w:p>
        </w:tc>
        <w:tc>
          <w:tcPr>
            <w:tcW w:w="1009" w:type="dxa"/>
            <w:tcBorders>
              <w:top w:val="nil"/>
              <w:bottom w:val="nil"/>
              <w:right w:val="single" w:sz="4" w:space="0" w:color="auto"/>
            </w:tcBorders>
            <w:shd w:val="clear" w:color="auto" w:fill="auto"/>
            <w:noWrap/>
            <w:hideMark/>
          </w:tcPr>
          <w:p w14:paraId="48C4A3A9" w14:textId="0268246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p>
        </w:tc>
        <w:tc>
          <w:tcPr>
            <w:tcW w:w="1009" w:type="dxa"/>
            <w:tcBorders>
              <w:top w:val="nil"/>
              <w:left w:val="single" w:sz="4" w:space="0" w:color="auto"/>
              <w:bottom w:val="nil"/>
            </w:tcBorders>
            <w:shd w:val="clear" w:color="auto" w:fill="auto"/>
            <w:noWrap/>
            <w:hideMark/>
          </w:tcPr>
          <w:p w14:paraId="3AC757DF"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-11.60</w:t>
            </w:r>
          </w:p>
        </w:tc>
        <w:tc>
          <w:tcPr>
            <w:tcW w:w="1009" w:type="dxa"/>
            <w:tcBorders>
              <w:top w:val="nil"/>
              <w:bottom w:val="nil"/>
            </w:tcBorders>
            <w:shd w:val="clear" w:color="auto" w:fill="auto"/>
            <w:noWrap/>
            <w:hideMark/>
          </w:tcPr>
          <w:p w14:paraId="0C82D8D0"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0.853</w:t>
            </w:r>
          </w:p>
        </w:tc>
        <w:tc>
          <w:tcPr>
            <w:tcW w:w="1009" w:type="dxa"/>
            <w:tcBorders>
              <w:top w:val="nil"/>
              <w:bottom w:val="nil"/>
            </w:tcBorders>
            <w:shd w:val="clear" w:color="auto" w:fill="auto"/>
            <w:noWrap/>
            <w:vAlign w:val="center"/>
            <w:hideMark/>
          </w:tcPr>
          <w:p w14:paraId="12C44C07"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p>
        </w:tc>
      </w:tr>
      <w:tr w:rsidR="00704D32" w:rsidRPr="00617370" w14:paraId="16AEAAF4" w14:textId="77777777" w:rsidTr="00595D13">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hideMark/>
          </w:tcPr>
          <w:p w14:paraId="564677CC" w14:textId="77777777" w:rsidR="00704D32" w:rsidRPr="00617370" w:rsidRDefault="00704D32" w:rsidP="00704D32">
            <w:pPr>
              <w:pStyle w:val="Tabletext"/>
              <w:rPr>
                <w:b w:val="0"/>
                <w:bCs/>
              </w:rPr>
            </w:pPr>
            <w:r w:rsidRPr="00617370">
              <w:rPr>
                <w:b w:val="0"/>
                <w:bCs/>
              </w:rPr>
              <w:t xml:space="preserve">     Third quintile</w:t>
            </w:r>
          </w:p>
        </w:tc>
        <w:tc>
          <w:tcPr>
            <w:tcW w:w="1008" w:type="dxa"/>
            <w:tcBorders>
              <w:top w:val="nil"/>
              <w:bottom w:val="nil"/>
            </w:tcBorders>
            <w:shd w:val="clear" w:color="auto" w:fill="auto"/>
            <w:noWrap/>
            <w:hideMark/>
          </w:tcPr>
          <w:p w14:paraId="686EB0FD" w14:textId="433EE734"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40.49</w:t>
            </w:r>
          </w:p>
        </w:tc>
        <w:tc>
          <w:tcPr>
            <w:tcW w:w="1009" w:type="dxa"/>
            <w:tcBorders>
              <w:top w:val="nil"/>
              <w:bottom w:val="nil"/>
            </w:tcBorders>
            <w:shd w:val="clear" w:color="auto" w:fill="auto"/>
            <w:noWrap/>
            <w:hideMark/>
          </w:tcPr>
          <w:p w14:paraId="7988B89E" w14:textId="17145470"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0.3942</w:t>
            </w:r>
          </w:p>
        </w:tc>
        <w:tc>
          <w:tcPr>
            <w:tcW w:w="1009" w:type="dxa"/>
            <w:tcBorders>
              <w:top w:val="nil"/>
              <w:bottom w:val="nil"/>
              <w:right w:val="single" w:sz="4" w:space="0" w:color="auto"/>
            </w:tcBorders>
            <w:shd w:val="clear" w:color="auto" w:fill="auto"/>
            <w:noWrap/>
            <w:hideMark/>
          </w:tcPr>
          <w:p w14:paraId="0D1F7605" w14:textId="01F80603"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p>
        </w:tc>
        <w:tc>
          <w:tcPr>
            <w:tcW w:w="1009" w:type="dxa"/>
            <w:tcBorders>
              <w:top w:val="nil"/>
              <w:left w:val="single" w:sz="4" w:space="0" w:color="auto"/>
              <w:bottom w:val="nil"/>
            </w:tcBorders>
            <w:shd w:val="clear" w:color="auto" w:fill="auto"/>
            <w:noWrap/>
            <w:hideMark/>
          </w:tcPr>
          <w:p w14:paraId="0AFF5198" w14:textId="77777777"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5.69</w:t>
            </w:r>
          </w:p>
        </w:tc>
        <w:tc>
          <w:tcPr>
            <w:tcW w:w="1009" w:type="dxa"/>
            <w:tcBorders>
              <w:top w:val="nil"/>
              <w:bottom w:val="nil"/>
            </w:tcBorders>
            <w:shd w:val="clear" w:color="auto" w:fill="auto"/>
            <w:noWrap/>
            <w:hideMark/>
          </w:tcPr>
          <w:p w14:paraId="7FE9FB66" w14:textId="77777777"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0.934</w:t>
            </w:r>
          </w:p>
        </w:tc>
        <w:tc>
          <w:tcPr>
            <w:tcW w:w="1009" w:type="dxa"/>
            <w:tcBorders>
              <w:top w:val="nil"/>
              <w:bottom w:val="nil"/>
            </w:tcBorders>
            <w:shd w:val="clear" w:color="auto" w:fill="auto"/>
            <w:noWrap/>
            <w:vAlign w:val="center"/>
            <w:hideMark/>
          </w:tcPr>
          <w:p w14:paraId="4E5E6753" w14:textId="77777777"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p>
        </w:tc>
      </w:tr>
      <w:tr w:rsidR="00704D32" w:rsidRPr="00617370" w14:paraId="084E9F43" w14:textId="77777777" w:rsidTr="00595D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noWrap/>
            <w:hideMark/>
          </w:tcPr>
          <w:p w14:paraId="45E11746" w14:textId="77777777" w:rsidR="00704D32" w:rsidRPr="00617370" w:rsidRDefault="00704D32" w:rsidP="00704D32">
            <w:pPr>
              <w:pStyle w:val="Tabletext"/>
              <w:rPr>
                <w:b w:val="0"/>
                <w:bCs/>
              </w:rPr>
            </w:pPr>
            <w:r w:rsidRPr="00617370">
              <w:rPr>
                <w:b w:val="0"/>
                <w:bCs/>
              </w:rPr>
              <w:t xml:space="preserve">     Fourth quintile</w:t>
            </w:r>
          </w:p>
        </w:tc>
        <w:tc>
          <w:tcPr>
            <w:tcW w:w="1008" w:type="dxa"/>
            <w:tcBorders>
              <w:top w:val="nil"/>
              <w:bottom w:val="nil"/>
            </w:tcBorders>
            <w:shd w:val="clear" w:color="auto" w:fill="auto"/>
            <w:noWrap/>
            <w:hideMark/>
          </w:tcPr>
          <w:p w14:paraId="6746C0F4" w14:textId="0475F354"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153.71</w:t>
            </w:r>
          </w:p>
        </w:tc>
        <w:tc>
          <w:tcPr>
            <w:tcW w:w="1009" w:type="dxa"/>
            <w:tcBorders>
              <w:top w:val="nil"/>
              <w:bottom w:val="nil"/>
            </w:tcBorders>
            <w:shd w:val="clear" w:color="auto" w:fill="auto"/>
            <w:noWrap/>
            <w:hideMark/>
          </w:tcPr>
          <w:p w14:paraId="20653965" w14:textId="16916E11"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0.01</w:t>
            </w:r>
          </w:p>
        </w:tc>
        <w:tc>
          <w:tcPr>
            <w:tcW w:w="1009" w:type="dxa"/>
            <w:tcBorders>
              <w:top w:val="nil"/>
              <w:bottom w:val="nil"/>
              <w:right w:val="single" w:sz="4" w:space="0" w:color="auto"/>
            </w:tcBorders>
            <w:shd w:val="clear" w:color="auto" w:fill="auto"/>
            <w:noWrap/>
            <w:hideMark/>
          </w:tcPr>
          <w:p w14:paraId="6657889E" w14:textId="5FD5E6A4"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w:t>
            </w:r>
          </w:p>
        </w:tc>
        <w:tc>
          <w:tcPr>
            <w:tcW w:w="1009" w:type="dxa"/>
            <w:tcBorders>
              <w:top w:val="nil"/>
              <w:left w:val="single" w:sz="4" w:space="0" w:color="auto"/>
              <w:bottom w:val="nil"/>
            </w:tcBorders>
            <w:shd w:val="clear" w:color="auto" w:fill="auto"/>
            <w:noWrap/>
            <w:hideMark/>
          </w:tcPr>
          <w:p w14:paraId="472106B1"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27.41</w:t>
            </w:r>
          </w:p>
        </w:tc>
        <w:tc>
          <w:tcPr>
            <w:tcW w:w="1009" w:type="dxa"/>
            <w:tcBorders>
              <w:top w:val="nil"/>
              <w:bottom w:val="nil"/>
            </w:tcBorders>
            <w:shd w:val="clear" w:color="auto" w:fill="auto"/>
            <w:noWrap/>
            <w:hideMark/>
          </w:tcPr>
          <w:p w14:paraId="590A805A"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r w:rsidRPr="00617370">
              <w:t>0.710</w:t>
            </w:r>
          </w:p>
        </w:tc>
        <w:tc>
          <w:tcPr>
            <w:tcW w:w="1009" w:type="dxa"/>
            <w:tcBorders>
              <w:top w:val="nil"/>
              <w:bottom w:val="nil"/>
            </w:tcBorders>
            <w:shd w:val="clear" w:color="auto" w:fill="auto"/>
            <w:noWrap/>
            <w:vAlign w:val="center"/>
            <w:hideMark/>
          </w:tcPr>
          <w:p w14:paraId="02EAE48D" w14:textId="77777777" w:rsidR="00704D32" w:rsidRPr="00617370" w:rsidRDefault="00704D32" w:rsidP="00704D32">
            <w:pPr>
              <w:pStyle w:val="Tabletext"/>
              <w:jc w:val="center"/>
              <w:cnfStyle w:val="000000100000" w:firstRow="0" w:lastRow="0" w:firstColumn="0" w:lastColumn="0" w:oddVBand="0" w:evenVBand="0" w:oddHBand="1" w:evenHBand="0" w:firstRowFirstColumn="0" w:firstRowLastColumn="0" w:lastRowFirstColumn="0" w:lastRowLastColumn="0"/>
            </w:pPr>
          </w:p>
        </w:tc>
      </w:tr>
      <w:tr w:rsidR="00704D32" w:rsidRPr="00617370" w14:paraId="2AB548C8" w14:textId="77777777" w:rsidTr="00595D13">
        <w:trPr>
          <w:trHeight w:val="20"/>
        </w:trPr>
        <w:tc>
          <w:tcPr>
            <w:cnfStyle w:val="001000000000" w:firstRow="0" w:lastRow="0" w:firstColumn="1" w:lastColumn="0" w:oddVBand="0" w:evenVBand="0" w:oddHBand="0" w:evenHBand="0" w:firstRowFirstColumn="0" w:firstRowLastColumn="0" w:lastRowFirstColumn="0" w:lastRowLastColumn="0"/>
            <w:tcW w:w="2977" w:type="dxa"/>
            <w:tcBorders>
              <w:top w:val="nil"/>
            </w:tcBorders>
            <w:shd w:val="clear" w:color="auto" w:fill="auto"/>
            <w:noWrap/>
            <w:hideMark/>
          </w:tcPr>
          <w:p w14:paraId="4B407CFF" w14:textId="77777777" w:rsidR="00704D32" w:rsidRPr="00617370" w:rsidRDefault="00704D32" w:rsidP="00704D32">
            <w:pPr>
              <w:pStyle w:val="Tabletext"/>
              <w:rPr>
                <w:b w:val="0"/>
                <w:bCs/>
              </w:rPr>
            </w:pPr>
            <w:r w:rsidRPr="00617370">
              <w:rPr>
                <w:b w:val="0"/>
                <w:bCs/>
              </w:rPr>
              <w:t xml:space="preserve">     Highest quintile</w:t>
            </w:r>
          </w:p>
        </w:tc>
        <w:tc>
          <w:tcPr>
            <w:tcW w:w="1008" w:type="dxa"/>
            <w:tcBorders>
              <w:top w:val="nil"/>
            </w:tcBorders>
            <w:shd w:val="clear" w:color="auto" w:fill="auto"/>
            <w:noWrap/>
            <w:hideMark/>
          </w:tcPr>
          <w:p w14:paraId="04082131" w14:textId="4EB08F59"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172.47</w:t>
            </w:r>
          </w:p>
        </w:tc>
        <w:tc>
          <w:tcPr>
            <w:tcW w:w="1009" w:type="dxa"/>
            <w:tcBorders>
              <w:top w:val="nil"/>
            </w:tcBorders>
            <w:shd w:val="clear" w:color="auto" w:fill="auto"/>
            <w:noWrap/>
            <w:hideMark/>
          </w:tcPr>
          <w:p w14:paraId="46EE01D5" w14:textId="27E4B7F0"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0.0167</w:t>
            </w:r>
          </w:p>
        </w:tc>
        <w:tc>
          <w:tcPr>
            <w:tcW w:w="1009" w:type="dxa"/>
            <w:tcBorders>
              <w:top w:val="nil"/>
              <w:right w:val="single" w:sz="4" w:space="0" w:color="auto"/>
            </w:tcBorders>
            <w:shd w:val="clear" w:color="auto" w:fill="auto"/>
            <w:noWrap/>
            <w:hideMark/>
          </w:tcPr>
          <w:p w14:paraId="33C92897" w14:textId="6D9BE6F6"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w:t>
            </w:r>
          </w:p>
        </w:tc>
        <w:tc>
          <w:tcPr>
            <w:tcW w:w="1009" w:type="dxa"/>
            <w:tcBorders>
              <w:top w:val="nil"/>
              <w:left w:val="single" w:sz="4" w:space="0" w:color="auto"/>
              <w:bottom w:val="single" w:sz="4" w:space="0" w:color="auto"/>
            </w:tcBorders>
            <w:shd w:val="clear" w:color="auto" w:fill="auto"/>
            <w:noWrap/>
            <w:hideMark/>
          </w:tcPr>
          <w:p w14:paraId="4726E506" w14:textId="77777777"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4.89</w:t>
            </w:r>
          </w:p>
        </w:tc>
        <w:tc>
          <w:tcPr>
            <w:tcW w:w="1009" w:type="dxa"/>
            <w:tcBorders>
              <w:top w:val="nil"/>
              <w:bottom w:val="single" w:sz="4" w:space="0" w:color="auto"/>
            </w:tcBorders>
            <w:shd w:val="clear" w:color="auto" w:fill="auto"/>
            <w:noWrap/>
            <w:hideMark/>
          </w:tcPr>
          <w:p w14:paraId="3A2CEB8D" w14:textId="77777777"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r w:rsidRPr="00617370">
              <w:t>0.951</w:t>
            </w:r>
          </w:p>
        </w:tc>
        <w:tc>
          <w:tcPr>
            <w:tcW w:w="1009" w:type="dxa"/>
            <w:tcBorders>
              <w:top w:val="nil"/>
              <w:bottom w:val="single" w:sz="4" w:space="0" w:color="auto"/>
            </w:tcBorders>
            <w:shd w:val="clear" w:color="auto" w:fill="auto"/>
            <w:noWrap/>
            <w:vAlign w:val="center"/>
            <w:hideMark/>
          </w:tcPr>
          <w:p w14:paraId="685547ED" w14:textId="77777777" w:rsidR="00704D32" w:rsidRPr="00617370" w:rsidRDefault="00704D32" w:rsidP="00704D32">
            <w:pPr>
              <w:pStyle w:val="Tabletext"/>
              <w:jc w:val="center"/>
              <w:cnfStyle w:val="000000000000" w:firstRow="0" w:lastRow="0" w:firstColumn="0" w:lastColumn="0" w:oddVBand="0" w:evenVBand="0" w:oddHBand="0" w:evenHBand="0" w:firstRowFirstColumn="0" w:firstRowLastColumn="0" w:lastRowFirstColumn="0" w:lastRowLastColumn="0"/>
            </w:pPr>
          </w:p>
        </w:tc>
      </w:tr>
    </w:tbl>
    <w:p w14:paraId="019543AE" w14:textId="700A565B" w:rsidR="00C61D9A" w:rsidRPr="00617370" w:rsidRDefault="00C61D9A" w:rsidP="00C61D9A">
      <w:pPr>
        <w:pStyle w:val="Source"/>
      </w:pPr>
      <w:r w:rsidRPr="00617370">
        <w:t xml:space="preserve">Note: * indicates statistical significance at the 5% level, where the p-value </w:t>
      </w:r>
      <w:bookmarkStart w:id="53" w:name="_Hlk169689265"/>
      <w:r w:rsidR="00D8635F" w:rsidRPr="00617370">
        <w:t>≤</w:t>
      </w:r>
      <w:bookmarkEnd w:id="53"/>
      <w:r w:rsidRPr="00617370">
        <w:t xml:space="preserve"> 0.05. </w:t>
      </w:r>
    </w:p>
    <w:p w14:paraId="44783430" w14:textId="77777777" w:rsidR="009708FB" w:rsidRPr="00617370" w:rsidRDefault="009708FB">
      <w:pPr>
        <w:spacing w:before="0" w:line="240" w:lineRule="auto"/>
      </w:pPr>
      <w:r w:rsidRPr="00617370">
        <w:br w:type="page"/>
      </w:r>
    </w:p>
    <w:p w14:paraId="1435F520" w14:textId="3BEE0B99" w:rsidR="009C5E63" w:rsidRPr="00617370" w:rsidRDefault="000025AE" w:rsidP="3E71FE18">
      <w:pPr>
        <w:pStyle w:val="Text"/>
      </w:pPr>
      <w:r w:rsidRPr="00617370">
        <w:lastRenderedPageBreak/>
        <w:t>The s</w:t>
      </w:r>
      <w:r w:rsidR="204A1146" w:rsidRPr="00617370">
        <w:t xml:space="preserve">tatistical significance of each predictor remains the same as </w:t>
      </w:r>
      <w:r w:rsidR="00F52A13" w:rsidRPr="00617370">
        <w:t>with</w:t>
      </w:r>
      <w:r w:rsidR="000B50A6" w:rsidRPr="00617370">
        <w:t xml:space="preserve"> </w:t>
      </w:r>
      <w:r w:rsidR="002004D0" w:rsidRPr="00617370">
        <w:t>t</w:t>
      </w:r>
      <w:r w:rsidR="204A1146" w:rsidRPr="00617370">
        <w:t xml:space="preserve">able </w:t>
      </w:r>
      <w:r w:rsidR="00610050" w:rsidRPr="00617370">
        <w:t xml:space="preserve">3 </w:t>
      </w:r>
      <w:r w:rsidR="204A1146" w:rsidRPr="00617370">
        <w:t>for both models</w:t>
      </w:r>
      <w:r w:rsidR="0054252B" w:rsidRPr="00617370">
        <w:t>.</w:t>
      </w:r>
      <w:r w:rsidR="000B50A6" w:rsidRPr="00617370">
        <w:t xml:space="preserve"> The i</w:t>
      </w:r>
      <w:r w:rsidR="204A1146" w:rsidRPr="00617370">
        <w:t xml:space="preserve">nterpretation </w:t>
      </w:r>
      <w:r w:rsidR="000607B5" w:rsidRPr="00617370">
        <w:t xml:space="preserve">of </w:t>
      </w:r>
      <w:r w:rsidR="204A1146" w:rsidRPr="00617370">
        <w:t xml:space="preserve">the standardised coefficients is therefore </w:t>
      </w:r>
      <w:r w:rsidR="642D5A06" w:rsidRPr="00617370">
        <w:t>confined</w:t>
      </w:r>
      <w:r w:rsidR="204A1146" w:rsidRPr="00617370">
        <w:t xml:space="preserve"> to the statistically significant predictors. </w:t>
      </w:r>
      <w:r w:rsidR="14EC4F30" w:rsidRPr="00617370">
        <w:t xml:space="preserve">For ATAR recipients, </w:t>
      </w:r>
      <w:r w:rsidR="53DFB318" w:rsidRPr="00617370">
        <w:t xml:space="preserve">the interaction </w:t>
      </w:r>
      <w:r w:rsidR="00A80D3C" w:rsidRPr="00617370">
        <w:t>between</w:t>
      </w:r>
      <w:r w:rsidR="53DFB318" w:rsidRPr="00617370">
        <w:t xml:space="preserve"> NAPLAN achievement scores and the two highest SES quintiles </w:t>
      </w:r>
      <w:r w:rsidR="00640532" w:rsidRPr="00617370">
        <w:t>displays</w:t>
      </w:r>
      <w:r w:rsidR="53DFB318" w:rsidRPr="00617370">
        <w:t xml:space="preserve"> the largest impact on the likelihood </w:t>
      </w:r>
      <w:r w:rsidR="00640532" w:rsidRPr="00617370">
        <w:t xml:space="preserve">of </w:t>
      </w:r>
      <w:r w:rsidR="53DFB318" w:rsidRPr="00617370">
        <w:t>an individual receiv</w:t>
      </w:r>
      <w:r w:rsidR="00640532" w:rsidRPr="00617370">
        <w:t>ing</w:t>
      </w:r>
      <w:r w:rsidR="53DFB318" w:rsidRPr="00617370">
        <w:t xml:space="preserve"> an ATAR</w:t>
      </w:r>
      <w:r w:rsidR="14D77D77" w:rsidRPr="00617370">
        <w:t>,</w:t>
      </w:r>
      <w:r w:rsidR="53DFB318" w:rsidRPr="00617370">
        <w:t xml:space="preserve"> while </w:t>
      </w:r>
      <w:r w:rsidR="00D8635F" w:rsidRPr="00617370">
        <w:t>gender</w:t>
      </w:r>
      <w:r w:rsidR="53DFB318" w:rsidRPr="00617370">
        <w:t xml:space="preserve"> </w:t>
      </w:r>
      <w:r w:rsidR="00041A4F" w:rsidRPr="00617370">
        <w:t xml:space="preserve">has </w:t>
      </w:r>
      <w:r w:rsidR="53DFB318" w:rsidRPr="00617370">
        <w:t>the second</w:t>
      </w:r>
      <w:r w:rsidR="00640532" w:rsidRPr="00617370">
        <w:t>-</w:t>
      </w:r>
      <w:r w:rsidR="53DFB318" w:rsidRPr="00617370">
        <w:t>largest effect.</w:t>
      </w:r>
      <w:r w:rsidR="00B200D3" w:rsidRPr="00617370">
        <w:t xml:space="preserve"> The </w:t>
      </w:r>
      <w:r w:rsidR="53DFB318" w:rsidRPr="00617370">
        <w:t xml:space="preserve">effect of </w:t>
      </w:r>
      <w:r w:rsidR="204A1146" w:rsidRPr="00617370">
        <w:t>Y</w:t>
      </w:r>
      <w:r w:rsidR="53DFB318" w:rsidRPr="00617370">
        <w:t>ear 9 NAPLAN achievement scores increases for higher level</w:t>
      </w:r>
      <w:r w:rsidR="13EA7F40" w:rsidRPr="00617370">
        <w:t>s</w:t>
      </w:r>
      <w:r w:rsidR="53DFB318" w:rsidRPr="00617370">
        <w:t xml:space="preserve"> of SES</w:t>
      </w:r>
      <w:r w:rsidR="14D77D77" w:rsidRPr="00617370">
        <w:t>,</w:t>
      </w:r>
      <w:r w:rsidR="53DFB318" w:rsidRPr="00617370">
        <w:t xml:space="preserve"> </w:t>
      </w:r>
      <w:r w:rsidR="00A62566" w:rsidRPr="00617370">
        <w:t>al</w:t>
      </w:r>
      <w:r w:rsidR="53DFB318" w:rsidRPr="00617370">
        <w:t>though we have insufficient evidence to conclude</w:t>
      </w:r>
      <w:r w:rsidR="14D77D77" w:rsidRPr="00617370">
        <w:t xml:space="preserve"> the impact in</w:t>
      </w:r>
      <w:r w:rsidR="53DFB318" w:rsidRPr="00617370">
        <w:t xml:space="preserve"> the lower (second and third) quintiles</w:t>
      </w:r>
      <w:r w:rsidR="62CCCD2F" w:rsidRPr="00617370">
        <w:t>.</w:t>
      </w:r>
      <w:r w:rsidR="53DFB318" w:rsidRPr="00617370">
        <w:t xml:space="preserve"> </w:t>
      </w:r>
    </w:p>
    <w:p w14:paraId="78B8D688" w14:textId="797ED46C" w:rsidR="00F371F7" w:rsidRPr="00617370" w:rsidRDefault="00CC135A" w:rsidP="00F371F7">
      <w:pPr>
        <w:pStyle w:val="Text"/>
      </w:pPr>
      <w:r w:rsidRPr="00617370">
        <w:t>F</w:t>
      </w:r>
      <w:r w:rsidR="00F371F7" w:rsidRPr="00617370">
        <w:t xml:space="preserve">or ATAR high achievers, Year 9 NAPLAN achievement scores have the largest impact on the likelihood of an individual achieving an ATAR of 90 </w:t>
      </w:r>
      <w:r w:rsidR="4507AD04" w:rsidRPr="00617370">
        <w:t>or</w:t>
      </w:r>
      <w:r w:rsidR="00F371F7" w:rsidRPr="00617370">
        <w:t xml:space="preserve"> above, </w:t>
      </w:r>
      <w:r w:rsidR="004615FC" w:rsidRPr="00617370">
        <w:t xml:space="preserve">with </w:t>
      </w:r>
      <w:r w:rsidR="00F371F7" w:rsidRPr="00617370">
        <w:t>gender</w:t>
      </w:r>
      <w:r w:rsidR="004615FC" w:rsidRPr="00617370">
        <w:t xml:space="preserve"> having </w:t>
      </w:r>
      <w:r w:rsidR="00F371F7" w:rsidRPr="00617370">
        <w:t xml:space="preserve">the second largest effect. </w:t>
      </w:r>
      <w:r w:rsidR="0029761C" w:rsidRPr="00617370">
        <w:t xml:space="preserve">These results are discussed in the following section. </w:t>
      </w:r>
    </w:p>
    <w:p w14:paraId="63C22BCE" w14:textId="77777777" w:rsidR="00F371F7" w:rsidRPr="00617370" w:rsidRDefault="00F371F7">
      <w:pPr>
        <w:spacing w:before="0" w:line="240" w:lineRule="auto"/>
        <w:rPr>
          <w:rFonts w:ascii="Arial" w:hAnsi="Arial" w:cs="Tahoma"/>
          <w:color w:val="000000"/>
          <w:kern w:val="28"/>
          <w:sz w:val="48"/>
          <w:szCs w:val="56"/>
        </w:rPr>
      </w:pPr>
      <w:r w:rsidRPr="00617370">
        <w:br w:type="page"/>
      </w:r>
    </w:p>
    <w:p w14:paraId="3E3A66DF" w14:textId="2D90F523" w:rsidR="00057CAF" w:rsidRPr="00617370" w:rsidRDefault="00B1735E" w:rsidP="00057CAF">
      <w:pPr>
        <w:pStyle w:val="Heading1"/>
      </w:pPr>
      <w:bookmarkStart w:id="54" w:name="_Toc166511942"/>
      <w:r w:rsidRPr="00617370">
        <w:rPr>
          <w:noProof/>
        </w:rPr>
        <w:lastRenderedPageBreak/>
        <w:drawing>
          <wp:anchor distT="0" distB="0" distL="114300" distR="114300" simplePos="0" relativeHeight="251672588" behindDoc="0" locked="0" layoutInCell="1" allowOverlap="1" wp14:anchorId="39A4295A" wp14:editId="7DF67389">
            <wp:simplePos x="0" y="0"/>
            <wp:positionH relativeFrom="column">
              <wp:posOffset>-635</wp:posOffset>
            </wp:positionH>
            <wp:positionV relativeFrom="paragraph">
              <wp:posOffset>0</wp:posOffset>
            </wp:positionV>
            <wp:extent cx="392400" cy="392400"/>
            <wp:effectExtent l="0" t="0" r="8255" b="8255"/>
            <wp:wrapSquare wrapText="bothSides"/>
            <wp:docPr id="1676507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07705"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392400" cy="392400"/>
                    </a:xfrm>
                    <a:prstGeom prst="rect">
                      <a:avLst/>
                    </a:prstGeom>
                    <a:noFill/>
                    <a:ln>
                      <a:noFill/>
                    </a:ln>
                  </pic:spPr>
                </pic:pic>
              </a:graphicData>
            </a:graphic>
          </wp:anchor>
        </w:drawing>
      </w:r>
      <w:r w:rsidR="004A4E60" w:rsidRPr="00617370">
        <w:t>Discussion</w:t>
      </w:r>
      <w:bookmarkEnd w:id="54"/>
      <w:r w:rsidR="006C0B0B" w:rsidRPr="00617370">
        <w:t xml:space="preserve"> </w:t>
      </w:r>
    </w:p>
    <w:p w14:paraId="68BA0CCE" w14:textId="757C2558" w:rsidR="00473B59" w:rsidRPr="00617370" w:rsidRDefault="00644E28" w:rsidP="00B91BAD">
      <w:pPr>
        <w:pStyle w:val="Text"/>
      </w:pPr>
      <w:r w:rsidRPr="00617370">
        <w:t xml:space="preserve">The purpose of this study was to </w:t>
      </w:r>
      <w:bookmarkStart w:id="55" w:name="_Hlk163831077"/>
      <w:r w:rsidR="71BAACA1" w:rsidRPr="00617370">
        <w:t>investigate</w:t>
      </w:r>
      <w:r w:rsidRPr="00617370">
        <w:t xml:space="preserve"> </w:t>
      </w:r>
      <w:r w:rsidR="000E7ACB" w:rsidRPr="00617370">
        <w:t>whether</w:t>
      </w:r>
      <w:r w:rsidR="00E538E9" w:rsidRPr="00617370">
        <w:t xml:space="preserve"> </w:t>
      </w:r>
      <w:r w:rsidR="00D673E1" w:rsidRPr="00617370">
        <w:t>national assessment data</w:t>
      </w:r>
      <w:r w:rsidR="00FC3CB6" w:rsidRPr="00617370">
        <w:t>,</w:t>
      </w:r>
      <w:r w:rsidR="00D673E1" w:rsidRPr="00617370">
        <w:t xml:space="preserve"> </w:t>
      </w:r>
      <w:r w:rsidR="00D341C5" w:rsidRPr="00617370">
        <w:t xml:space="preserve">when </w:t>
      </w:r>
      <w:r w:rsidR="00D673E1" w:rsidRPr="00617370">
        <w:t xml:space="preserve">linked to a </w:t>
      </w:r>
      <w:r w:rsidR="002437D6" w:rsidRPr="00617370">
        <w:t xml:space="preserve">nationally representative </w:t>
      </w:r>
      <w:r w:rsidR="00D673E1" w:rsidRPr="00617370">
        <w:t>longitudinal dataset</w:t>
      </w:r>
      <w:r w:rsidR="00FC3CB6" w:rsidRPr="00617370">
        <w:t>,</w:t>
      </w:r>
      <w:r w:rsidR="00D673E1" w:rsidRPr="00617370">
        <w:t xml:space="preserve"> could </w:t>
      </w:r>
      <w:r w:rsidR="00F329E7" w:rsidRPr="00617370">
        <w:t xml:space="preserve">be used </w:t>
      </w:r>
      <w:r w:rsidR="00380FED" w:rsidRPr="00617370">
        <w:t>to predict</w:t>
      </w:r>
      <w:r w:rsidR="00997454" w:rsidRPr="00617370">
        <w:t xml:space="preserve"> </w:t>
      </w:r>
      <w:r w:rsidR="00FC3CB6" w:rsidRPr="00617370">
        <w:t xml:space="preserve">the likelihood of </w:t>
      </w:r>
      <w:r w:rsidR="00380FED" w:rsidRPr="00617370">
        <w:t>students</w:t>
      </w:r>
      <w:r w:rsidR="00DE2941" w:rsidRPr="00617370">
        <w:t xml:space="preserve"> </w:t>
      </w:r>
      <w:r w:rsidR="00AD76A7" w:rsidRPr="00617370">
        <w:t>obtain</w:t>
      </w:r>
      <w:r w:rsidR="005F390D" w:rsidRPr="00617370">
        <w:t>ing</w:t>
      </w:r>
      <w:r w:rsidR="00AD76A7" w:rsidRPr="00617370">
        <w:t xml:space="preserve"> a</w:t>
      </w:r>
      <w:r w:rsidR="00D66480" w:rsidRPr="00617370">
        <w:t>n ATAR</w:t>
      </w:r>
      <w:r w:rsidR="00AD76A7" w:rsidRPr="00617370">
        <w:t xml:space="preserve"> </w:t>
      </w:r>
      <w:r w:rsidR="0069515D" w:rsidRPr="00617370">
        <w:t>at the</w:t>
      </w:r>
      <w:r w:rsidR="00AD76A7" w:rsidRPr="00617370">
        <w:t xml:space="preserve"> completi</w:t>
      </w:r>
      <w:r w:rsidR="0069515D" w:rsidRPr="00617370">
        <w:t>on of</w:t>
      </w:r>
      <w:r w:rsidR="00AD76A7" w:rsidRPr="00617370">
        <w:t xml:space="preserve"> </w:t>
      </w:r>
      <w:r w:rsidR="00D23350" w:rsidRPr="00617370">
        <w:t>Year 12</w:t>
      </w:r>
      <w:r w:rsidR="00B84813" w:rsidRPr="00617370">
        <w:t xml:space="preserve">, </w:t>
      </w:r>
      <w:r w:rsidR="00D827A2" w:rsidRPr="00617370">
        <w:t>and</w:t>
      </w:r>
      <w:r w:rsidR="00B66B2F" w:rsidRPr="00617370">
        <w:t xml:space="preserve"> </w:t>
      </w:r>
      <w:r w:rsidR="00B84813" w:rsidRPr="00617370">
        <w:t xml:space="preserve">the </w:t>
      </w:r>
      <w:r w:rsidR="001025D7" w:rsidRPr="00617370">
        <w:t xml:space="preserve">likelihood of obtaining a </w:t>
      </w:r>
      <w:r w:rsidR="001025D7" w:rsidRPr="00617370">
        <w:rPr>
          <w:i/>
          <w:iCs/>
        </w:rPr>
        <w:t>high</w:t>
      </w:r>
      <w:r w:rsidR="001025D7" w:rsidRPr="00617370">
        <w:t xml:space="preserve"> </w:t>
      </w:r>
      <w:r w:rsidR="00DB4CCF" w:rsidRPr="00617370">
        <w:t>ATAR</w:t>
      </w:r>
      <w:bookmarkEnd w:id="55"/>
      <w:r w:rsidR="3DE2FF73" w:rsidRPr="00617370">
        <w:t>.</w:t>
      </w:r>
      <w:r w:rsidR="001025D7" w:rsidRPr="00617370">
        <w:t xml:space="preserve"> </w:t>
      </w:r>
      <w:r w:rsidR="003A08DA" w:rsidRPr="00617370">
        <w:t>W</w:t>
      </w:r>
      <w:r w:rsidR="00CA2E9D" w:rsidRPr="00617370">
        <w:t xml:space="preserve">e found </w:t>
      </w:r>
      <w:r w:rsidR="00D717E6" w:rsidRPr="00617370">
        <w:t xml:space="preserve">prior </w:t>
      </w:r>
      <w:r w:rsidR="00CA2E9D" w:rsidRPr="00617370">
        <w:t>academic achievement</w:t>
      </w:r>
      <w:r w:rsidR="00F13E51" w:rsidRPr="00617370">
        <w:t xml:space="preserve">, </w:t>
      </w:r>
      <w:r w:rsidR="00016912" w:rsidRPr="00617370">
        <w:t xml:space="preserve">as </w:t>
      </w:r>
      <w:r w:rsidR="00C165E3" w:rsidRPr="00617370">
        <w:t>measured by NAPLAN scores,</w:t>
      </w:r>
      <w:r w:rsidR="00E116ED" w:rsidRPr="00617370">
        <w:t xml:space="preserve"> </w:t>
      </w:r>
      <w:r w:rsidR="00B506D7" w:rsidRPr="00617370">
        <w:t xml:space="preserve">played an important </w:t>
      </w:r>
      <w:r w:rsidR="00E116ED" w:rsidRPr="00617370">
        <w:t>role</w:t>
      </w:r>
      <w:r w:rsidR="00E44C0F" w:rsidRPr="00617370">
        <w:t xml:space="preserve"> for both outcomes</w:t>
      </w:r>
      <w:r w:rsidR="00CF45B5" w:rsidRPr="00617370">
        <w:t xml:space="preserve">. </w:t>
      </w:r>
      <w:r w:rsidR="00C71E84" w:rsidRPr="00617370">
        <w:t>Other i</w:t>
      </w:r>
      <w:r w:rsidR="003D5AB0" w:rsidRPr="00617370">
        <w:t xml:space="preserve">mportant characteristics associated with </w:t>
      </w:r>
      <w:r w:rsidR="003F2865" w:rsidRPr="00617370">
        <w:t xml:space="preserve">an increased </w:t>
      </w:r>
      <w:r w:rsidR="00297875" w:rsidRPr="00617370">
        <w:t>likelihood</w:t>
      </w:r>
      <w:r w:rsidR="003F2865" w:rsidRPr="00617370">
        <w:t xml:space="preserve"> of </w:t>
      </w:r>
      <w:r w:rsidR="00633E0F" w:rsidRPr="00617370">
        <w:t xml:space="preserve">receiving an </w:t>
      </w:r>
      <w:r w:rsidR="003D5AB0" w:rsidRPr="00617370">
        <w:t>ATAR included having a non-English speaking background, being female</w:t>
      </w:r>
      <w:r w:rsidR="00BF05D7" w:rsidRPr="00617370">
        <w:t>,</w:t>
      </w:r>
      <w:r w:rsidR="003D5AB0" w:rsidRPr="00617370">
        <w:t xml:space="preserve"> and being non-Indigenous</w:t>
      </w:r>
      <w:r w:rsidR="006B220F" w:rsidRPr="00617370">
        <w:t xml:space="preserve">. These findings </w:t>
      </w:r>
      <w:r w:rsidR="00DA5DC7" w:rsidRPr="00617370">
        <w:t xml:space="preserve">are </w:t>
      </w:r>
      <w:r w:rsidR="2781013D" w:rsidRPr="00617370">
        <w:t>in line with</w:t>
      </w:r>
      <w:r w:rsidR="00DA5DC7" w:rsidRPr="00617370">
        <w:t xml:space="preserve"> earlier </w:t>
      </w:r>
      <w:r w:rsidR="00AE1777" w:rsidRPr="00617370">
        <w:t>studies</w:t>
      </w:r>
      <w:r w:rsidR="0023088D" w:rsidRPr="00617370">
        <w:t xml:space="preserve"> </w:t>
      </w:r>
      <w:r w:rsidR="00AE1777" w:rsidRPr="00617370">
        <w:t>(</w:t>
      </w:r>
      <w:r w:rsidR="00E27C2F" w:rsidRPr="00617370">
        <w:t>Houng &amp; Justman 201</w:t>
      </w:r>
      <w:r w:rsidR="006C24EC" w:rsidRPr="00617370">
        <w:t xml:space="preserve">4; </w:t>
      </w:r>
      <w:r w:rsidR="00AF3744" w:rsidRPr="00617370">
        <w:t xml:space="preserve">Marks, </w:t>
      </w:r>
      <w:r w:rsidR="003D3C3E" w:rsidRPr="00617370">
        <w:t xml:space="preserve">McMillan &amp; </w:t>
      </w:r>
      <w:r w:rsidR="00AF3744" w:rsidRPr="00617370">
        <w:t xml:space="preserve">Hillman 2001; </w:t>
      </w:r>
      <w:r w:rsidR="002645DE" w:rsidRPr="00617370">
        <w:t>Marks 2010</w:t>
      </w:r>
      <w:r w:rsidR="003D3C3E" w:rsidRPr="00617370">
        <w:t>,</w:t>
      </w:r>
      <w:r w:rsidR="001D2CC9" w:rsidRPr="00617370">
        <w:t xml:space="preserve"> 2019</w:t>
      </w:r>
      <w:r w:rsidR="00AF3744" w:rsidRPr="00617370">
        <w:t xml:space="preserve">). </w:t>
      </w:r>
    </w:p>
    <w:p w14:paraId="1A500A62" w14:textId="7CC16C61" w:rsidR="00EA7C38" w:rsidRPr="00617370" w:rsidRDefault="0062660C" w:rsidP="00CC3628">
      <w:pPr>
        <w:pStyle w:val="Text"/>
      </w:pPr>
      <w:r w:rsidRPr="00617370">
        <w:t xml:space="preserve">Our analyses found that </w:t>
      </w:r>
      <w:r w:rsidR="00D8635F" w:rsidRPr="00617370">
        <w:t>t</w:t>
      </w:r>
      <w:r w:rsidRPr="00617370">
        <w:t xml:space="preserve">he interaction between a student's socioeconomic status and their academic achievement was the strongest predictor of ATAR </w:t>
      </w:r>
      <w:r w:rsidR="00385556" w:rsidRPr="00617370">
        <w:t>attainment</w:t>
      </w:r>
      <w:r w:rsidRPr="00617370">
        <w:t xml:space="preserve"> when controlling for other factors</w:t>
      </w:r>
      <w:r w:rsidR="0046635B" w:rsidRPr="00617370">
        <w:t xml:space="preserve">, suggesting </w:t>
      </w:r>
      <w:r w:rsidR="00EF3A43" w:rsidRPr="00617370">
        <w:t xml:space="preserve">that </w:t>
      </w:r>
      <w:r w:rsidR="0046635B" w:rsidRPr="00617370">
        <w:t>t</w:t>
      </w:r>
      <w:r w:rsidRPr="00617370">
        <w:t xml:space="preserve">he interplay between </w:t>
      </w:r>
      <w:r w:rsidR="00D63085" w:rsidRPr="00617370">
        <w:t>socioeconomic</w:t>
      </w:r>
      <w:r w:rsidRPr="00617370">
        <w:t xml:space="preserve"> status and academic achievement requires further investigation.</w:t>
      </w:r>
      <w:r w:rsidR="00465DA6" w:rsidRPr="00617370">
        <w:t xml:space="preserve"> </w:t>
      </w:r>
      <w:bookmarkStart w:id="56" w:name="_Hlk151021712"/>
      <w:r w:rsidR="00C0277D" w:rsidRPr="00617370">
        <w:t>Our results showed that</w:t>
      </w:r>
      <w:r w:rsidR="00CA64B1" w:rsidRPr="00617370">
        <w:t>,</w:t>
      </w:r>
      <w:r w:rsidR="00C0277D" w:rsidRPr="00617370">
        <w:t xml:space="preserve"> for </w:t>
      </w:r>
      <w:r w:rsidR="00AA3521" w:rsidRPr="00617370">
        <w:t xml:space="preserve">individuals </w:t>
      </w:r>
      <w:r w:rsidR="00B75E38" w:rsidRPr="00617370">
        <w:t xml:space="preserve">with </w:t>
      </w:r>
      <w:r w:rsidR="00455D2A" w:rsidRPr="00617370">
        <w:t xml:space="preserve">a </w:t>
      </w:r>
      <w:r w:rsidR="00B75E38" w:rsidRPr="00617370">
        <w:t>high socioeconomic status</w:t>
      </w:r>
      <w:r w:rsidR="008A0F76" w:rsidRPr="00617370">
        <w:t xml:space="preserve">, the likelihood of receiving an ATAR </w:t>
      </w:r>
      <w:r w:rsidR="00D8635F" w:rsidRPr="00617370">
        <w:t>increases by about 1.35 times</w:t>
      </w:r>
      <w:r w:rsidR="008A0F76" w:rsidRPr="00617370">
        <w:t xml:space="preserve"> </w:t>
      </w:r>
      <w:r w:rsidR="00D31FF6" w:rsidRPr="00617370">
        <w:t xml:space="preserve">as their NAPLAN scores increase </w:t>
      </w:r>
      <w:r w:rsidR="00B23172" w:rsidRPr="00617370">
        <w:t>when compared</w:t>
      </w:r>
      <w:r w:rsidR="00D31FF6" w:rsidRPr="00617370">
        <w:t xml:space="preserve"> with students with </w:t>
      </w:r>
      <w:r w:rsidR="00C72590" w:rsidRPr="00617370">
        <w:t>a low socioeconomic status</w:t>
      </w:r>
      <w:r w:rsidR="001E76BB" w:rsidRPr="00617370">
        <w:t xml:space="preserve"> </w:t>
      </w:r>
      <w:r w:rsidR="00D31FF6" w:rsidRPr="00617370">
        <w:t xml:space="preserve">with </w:t>
      </w:r>
      <w:r w:rsidR="00A927B5" w:rsidRPr="00617370">
        <w:t xml:space="preserve">the same </w:t>
      </w:r>
      <w:r w:rsidR="00D31FF6" w:rsidRPr="00617370">
        <w:t xml:space="preserve">increase in academic achievement. </w:t>
      </w:r>
      <w:r w:rsidR="00167EAC" w:rsidRPr="00617370">
        <w:t xml:space="preserve">This </w:t>
      </w:r>
      <w:r w:rsidR="006C63B6" w:rsidRPr="00617370">
        <w:t>finding demonstrates</w:t>
      </w:r>
      <w:r w:rsidR="00167EAC" w:rsidRPr="00617370">
        <w:t xml:space="preserve"> </w:t>
      </w:r>
      <w:r w:rsidR="00CF524C" w:rsidRPr="00617370">
        <w:t xml:space="preserve">the compounding advantage that </w:t>
      </w:r>
      <w:r w:rsidR="00EB454C" w:rsidRPr="00617370">
        <w:t xml:space="preserve">a high </w:t>
      </w:r>
      <w:r w:rsidR="00B40C3C" w:rsidRPr="00617370">
        <w:t xml:space="preserve">socioeconomic </w:t>
      </w:r>
      <w:r w:rsidR="00CF524C" w:rsidRPr="00617370">
        <w:t xml:space="preserve">status </w:t>
      </w:r>
      <w:r w:rsidR="006A4DCA" w:rsidRPr="00617370">
        <w:t>in combination</w:t>
      </w:r>
      <w:r w:rsidR="00CF524C" w:rsidRPr="00617370">
        <w:t xml:space="preserve"> with a strong foundational academic background</w:t>
      </w:r>
      <w:r w:rsidR="004A00E9" w:rsidRPr="00617370">
        <w:t xml:space="preserve"> has</w:t>
      </w:r>
      <w:r w:rsidR="007A3521" w:rsidRPr="00617370">
        <w:t xml:space="preserve"> on </w:t>
      </w:r>
      <w:r w:rsidR="001C56F2" w:rsidRPr="00617370">
        <w:t xml:space="preserve">the </w:t>
      </w:r>
      <w:r w:rsidR="007A3521" w:rsidRPr="00617370">
        <w:t xml:space="preserve">tertiary </w:t>
      </w:r>
      <w:r w:rsidR="001C56F2" w:rsidRPr="00617370">
        <w:t>trajectory</w:t>
      </w:r>
      <w:r w:rsidR="001427EA" w:rsidRPr="00617370">
        <w:t xml:space="preserve"> and </w:t>
      </w:r>
      <w:r w:rsidR="004222D5" w:rsidRPr="00617370">
        <w:t xml:space="preserve">emphasises </w:t>
      </w:r>
      <w:r w:rsidR="001427EA" w:rsidRPr="00617370">
        <w:t xml:space="preserve">the importance of not </w:t>
      </w:r>
      <w:r w:rsidR="00146226" w:rsidRPr="00617370">
        <w:t>ignoring</w:t>
      </w:r>
      <w:r w:rsidR="001427EA" w:rsidRPr="00617370">
        <w:t xml:space="preserve"> </w:t>
      </w:r>
      <w:r w:rsidR="000E5CA2" w:rsidRPr="00617370">
        <w:t>those from disadvantaged background</w:t>
      </w:r>
      <w:r w:rsidR="00B46B80" w:rsidRPr="00617370">
        <w:t>s</w:t>
      </w:r>
      <w:r w:rsidR="000E5CA2" w:rsidRPr="00617370">
        <w:t xml:space="preserve">, even when </w:t>
      </w:r>
      <w:r w:rsidR="00775D1C" w:rsidRPr="00617370">
        <w:t>students</w:t>
      </w:r>
      <w:r w:rsidR="000018FD" w:rsidRPr="00617370">
        <w:t xml:space="preserve"> from such backgrounds</w:t>
      </w:r>
      <w:r w:rsidR="00775D1C" w:rsidRPr="00617370">
        <w:t xml:space="preserve"> have </w:t>
      </w:r>
      <w:r w:rsidR="00426B73" w:rsidRPr="00617370">
        <w:t>a strong academic foundation.</w:t>
      </w:r>
      <w:r w:rsidR="001C56F2" w:rsidRPr="00617370">
        <w:t xml:space="preserve"> </w:t>
      </w:r>
    </w:p>
    <w:p w14:paraId="64A805E2" w14:textId="5421304D" w:rsidR="00CC3628" w:rsidRPr="00617370" w:rsidRDefault="00D625E7" w:rsidP="00CC3628">
      <w:pPr>
        <w:pStyle w:val="Text"/>
      </w:pPr>
      <w:bookmarkStart w:id="57" w:name="_Hlk172618383"/>
      <w:bookmarkEnd w:id="56"/>
      <w:r w:rsidRPr="00617370">
        <w:t xml:space="preserve">This </w:t>
      </w:r>
      <w:r w:rsidR="005D6B2E" w:rsidRPr="00617370">
        <w:t>significant</w:t>
      </w:r>
      <w:r w:rsidR="00580D07" w:rsidRPr="00617370">
        <w:t xml:space="preserve"> </w:t>
      </w:r>
      <w:r w:rsidRPr="00617370">
        <w:t xml:space="preserve">finding is reflected in other </w:t>
      </w:r>
      <w:r w:rsidR="00EB4E96" w:rsidRPr="00617370">
        <w:t xml:space="preserve">similar studies. </w:t>
      </w:r>
      <w:r w:rsidR="00CC3628" w:rsidRPr="00617370">
        <w:t>When exploring the combined effect of socioeconomic status and background characteristics on university completion, Lim (2015) show</w:t>
      </w:r>
      <w:r w:rsidR="00FF28E3" w:rsidRPr="00617370">
        <w:t>ed</w:t>
      </w:r>
      <w:r w:rsidR="00CC3628" w:rsidRPr="00617370">
        <w:t xml:space="preserve"> that less academically inclined students were further disadvantaged if they came from a low socioeconomic status</w:t>
      </w:r>
      <w:r w:rsidR="007E0A90" w:rsidRPr="00617370">
        <w:t xml:space="preserve"> background</w:t>
      </w:r>
      <w:r w:rsidR="00CC3628" w:rsidRPr="00617370">
        <w:t xml:space="preserve">, while the effect of low socioeconomic status was moderated for those with higher levels of academic performance. </w:t>
      </w:r>
      <w:bookmarkStart w:id="58" w:name="_Hlk172618181"/>
      <w:r w:rsidR="00342472" w:rsidRPr="00617370">
        <w:t>However,</w:t>
      </w:r>
      <w:r w:rsidR="00CC3628" w:rsidRPr="00617370">
        <w:t xml:space="preserve"> </w:t>
      </w:r>
      <w:r w:rsidR="00342472" w:rsidRPr="00617370">
        <w:t xml:space="preserve">the findings from Houng and Justman’s </w:t>
      </w:r>
      <w:r w:rsidR="008835FD" w:rsidRPr="00617370">
        <w:t xml:space="preserve">2015 </w:t>
      </w:r>
      <w:r w:rsidR="00342472" w:rsidRPr="00617370">
        <w:t xml:space="preserve">analysis </w:t>
      </w:r>
      <w:r w:rsidR="00CC3628" w:rsidRPr="00617370">
        <w:t>examining the interaction between NAPLAN and socioeconomic status were more nuanced. The</w:t>
      </w:r>
      <w:r w:rsidR="001043E1" w:rsidRPr="00617370">
        <w:t xml:space="preserve"> authors</w:t>
      </w:r>
      <w:r w:rsidR="00CC3628" w:rsidRPr="00617370">
        <w:t xml:space="preserve"> found </w:t>
      </w:r>
      <w:r w:rsidR="00C3049A" w:rsidRPr="00617370">
        <w:t xml:space="preserve">that </w:t>
      </w:r>
      <w:r w:rsidR="00996FCD" w:rsidRPr="00617370">
        <w:t xml:space="preserve">the impact of </w:t>
      </w:r>
      <w:r w:rsidR="00AA7742" w:rsidRPr="00617370">
        <w:t xml:space="preserve">socioeconomic status </w:t>
      </w:r>
      <w:r w:rsidR="00834D53" w:rsidRPr="00617370">
        <w:t xml:space="preserve">was </w:t>
      </w:r>
      <w:r w:rsidR="000E72F9" w:rsidRPr="00617370">
        <w:t>highest</w:t>
      </w:r>
      <w:r w:rsidR="00834D53" w:rsidRPr="00617370">
        <w:t xml:space="preserve"> </w:t>
      </w:r>
      <w:r w:rsidR="00CC3628" w:rsidRPr="00617370">
        <w:t xml:space="preserve">for students </w:t>
      </w:r>
      <w:r w:rsidR="000E72F9" w:rsidRPr="00617370">
        <w:t xml:space="preserve">with scores </w:t>
      </w:r>
      <w:r w:rsidR="00CC3628" w:rsidRPr="00617370">
        <w:t>centred around the middle band</w:t>
      </w:r>
      <w:r w:rsidR="009B6801" w:rsidRPr="00617370">
        <w:t xml:space="preserve"> of NAPLAN scores</w:t>
      </w:r>
      <w:r w:rsidR="00CC3628" w:rsidRPr="00617370">
        <w:t xml:space="preserve">. </w:t>
      </w:r>
      <w:r w:rsidR="00FE1BFD" w:rsidRPr="00617370">
        <w:t xml:space="preserve">For those at the </w:t>
      </w:r>
      <w:r w:rsidR="00AA7742" w:rsidRPr="00617370">
        <w:t>upper</w:t>
      </w:r>
      <w:r w:rsidR="00FE1BFD" w:rsidRPr="00617370">
        <w:t xml:space="preserve"> and </w:t>
      </w:r>
      <w:r w:rsidR="00AA7742" w:rsidRPr="00617370">
        <w:t xml:space="preserve">lower ends of the achievement scale, </w:t>
      </w:r>
      <w:r w:rsidR="007A1711" w:rsidRPr="00617370">
        <w:t xml:space="preserve">the effect of socioeconomic </w:t>
      </w:r>
      <w:r w:rsidR="45E582FA" w:rsidRPr="00617370">
        <w:t>status</w:t>
      </w:r>
      <w:r w:rsidR="553BC7E3" w:rsidRPr="00617370">
        <w:t xml:space="preserve"> </w:t>
      </w:r>
      <w:r w:rsidR="007A1711" w:rsidRPr="00617370">
        <w:t xml:space="preserve">is less pronounced </w:t>
      </w:r>
      <w:r w:rsidR="00AA7742" w:rsidRPr="00617370">
        <w:t>and greatly diminishes at the extreme ends</w:t>
      </w:r>
      <w:r w:rsidR="00830C76" w:rsidRPr="00617370">
        <w:t xml:space="preserve">: </w:t>
      </w:r>
      <w:r w:rsidR="00AA7742" w:rsidRPr="00617370">
        <w:t xml:space="preserve">students with very low achievement scores have </w:t>
      </w:r>
      <w:r w:rsidR="00830C76" w:rsidRPr="00617370">
        <w:t xml:space="preserve">a </w:t>
      </w:r>
      <w:r w:rsidR="00AA7742" w:rsidRPr="00617370">
        <w:t>very low chance of success</w:t>
      </w:r>
      <w:r w:rsidR="00A42898" w:rsidRPr="00617370">
        <w:t>,</w:t>
      </w:r>
      <w:r w:rsidR="00AA7742" w:rsidRPr="00617370">
        <w:t xml:space="preserve"> while students with very high achievement scores have </w:t>
      </w:r>
      <w:r w:rsidR="007D1B68" w:rsidRPr="00617370">
        <w:t xml:space="preserve">a </w:t>
      </w:r>
      <w:r w:rsidR="00AA7742" w:rsidRPr="00617370">
        <w:t xml:space="preserve">very high chance of success, regardless of their </w:t>
      </w:r>
      <w:r w:rsidR="0078507A" w:rsidRPr="00617370">
        <w:t xml:space="preserve">socioeconomic </w:t>
      </w:r>
      <w:r w:rsidR="00AA7742" w:rsidRPr="00617370">
        <w:t>background</w:t>
      </w:r>
      <w:r w:rsidR="0078507A" w:rsidRPr="00617370">
        <w:t>.</w:t>
      </w:r>
    </w:p>
    <w:bookmarkEnd w:id="58"/>
    <w:bookmarkEnd w:id="57"/>
    <w:p w14:paraId="320BE9C0" w14:textId="4910951D" w:rsidR="00780151" w:rsidRPr="00617370" w:rsidRDefault="0046635B" w:rsidP="00FF64C2">
      <w:pPr>
        <w:pStyle w:val="Text"/>
        <w:rPr>
          <w:color w:val="7030A0"/>
        </w:rPr>
      </w:pPr>
      <w:r w:rsidRPr="00617370">
        <w:t xml:space="preserve">When we </w:t>
      </w:r>
      <w:r w:rsidR="00D06650" w:rsidRPr="00617370">
        <w:t>explor</w:t>
      </w:r>
      <w:r w:rsidRPr="00617370">
        <w:t>e</w:t>
      </w:r>
      <w:r w:rsidR="00D06650" w:rsidRPr="00617370">
        <w:t xml:space="preserve"> the factors </w:t>
      </w:r>
      <w:r w:rsidR="00245D0B" w:rsidRPr="00617370">
        <w:t xml:space="preserve">associated with high tertiary entrance performance, </w:t>
      </w:r>
      <w:r w:rsidR="0028019B" w:rsidRPr="00617370">
        <w:t xml:space="preserve">the </w:t>
      </w:r>
      <w:r w:rsidRPr="00617370">
        <w:t>results are very different</w:t>
      </w:r>
      <w:r w:rsidR="00695983" w:rsidRPr="00617370">
        <w:t xml:space="preserve">. The joint effect of socioeconomic status and student </w:t>
      </w:r>
      <w:r w:rsidR="001E74E2" w:rsidRPr="00617370">
        <w:t xml:space="preserve">achievement </w:t>
      </w:r>
      <w:r w:rsidR="00695983" w:rsidRPr="00617370">
        <w:t xml:space="preserve">is no </w:t>
      </w:r>
      <w:r w:rsidR="001E74E2" w:rsidRPr="00617370">
        <w:t xml:space="preserve">longer </w:t>
      </w:r>
      <w:r w:rsidR="00695983" w:rsidRPr="00617370">
        <w:t>significant</w:t>
      </w:r>
      <w:r w:rsidR="005F4C7C" w:rsidRPr="00617370">
        <w:t xml:space="preserve">, and </w:t>
      </w:r>
      <w:r w:rsidR="008B5048" w:rsidRPr="00617370">
        <w:t xml:space="preserve">the importance of </w:t>
      </w:r>
      <w:r w:rsidR="000F26E2" w:rsidRPr="00617370">
        <w:t xml:space="preserve">characteristics </w:t>
      </w:r>
      <w:r w:rsidR="00071557" w:rsidRPr="00617370">
        <w:t xml:space="preserve">previously found to </w:t>
      </w:r>
      <w:r w:rsidR="00F63636" w:rsidRPr="00617370">
        <w:t xml:space="preserve">be associated with </w:t>
      </w:r>
      <w:r w:rsidR="00164816" w:rsidRPr="00617370">
        <w:t>receiving an ATAR</w:t>
      </w:r>
      <w:r w:rsidR="00A42898" w:rsidRPr="00617370">
        <w:t>;</w:t>
      </w:r>
      <w:r w:rsidR="008F5F2E" w:rsidRPr="00617370">
        <w:t xml:space="preserve"> </w:t>
      </w:r>
      <w:r w:rsidR="00CD5F04" w:rsidRPr="00617370">
        <w:t>namely</w:t>
      </w:r>
      <w:r w:rsidR="00A42898" w:rsidRPr="00617370">
        <w:t>,</w:t>
      </w:r>
      <w:r w:rsidR="00CD5F04" w:rsidRPr="00617370">
        <w:t xml:space="preserve"> </w:t>
      </w:r>
      <w:r w:rsidR="000F26E2" w:rsidRPr="00617370">
        <w:t>language background and Indigenous status</w:t>
      </w:r>
      <w:r w:rsidR="008F5F2E" w:rsidRPr="00617370">
        <w:t xml:space="preserve">, </w:t>
      </w:r>
      <w:r w:rsidR="008B5048" w:rsidRPr="00617370">
        <w:t>fall</w:t>
      </w:r>
      <w:r w:rsidR="00097B71" w:rsidRPr="00617370">
        <w:t>s</w:t>
      </w:r>
      <w:r w:rsidR="008B5048" w:rsidRPr="00617370">
        <w:t xml:space="preserve"> away. </w:t>
      </w:r>
      <w:r w:rsidR="005A7A21" w:rsidRPr="00617370">
        <w:t xml:space="preserve">Instead, </w:t>
      </w:r>
      <w:r w:rsidR="00FA7B4E" w:rsidRPr="00617370">
        <w:t xml:space="preserve">just two characteristics are found to </w:t>
      </w:r>
      <w:r w:rsidR="00CF0356" w:rsidRPr="00617370">
        <w:t xml:space="preserve">influence </w:t>
      </w:r>
      <w:r w:rsidR="00FA7B4E" w:rsidRPr="00617370">
        <w:t xml:space="preserve">high </w:t>
      </w:r>
      <w:r w:rsidR="0090693E" w:rsidRPr="00617370">
        <w:t xml:space="preserve">tertiary entrance </w:t>
      </w:r>
      <w:r w:rsidR="00FA7B4E" w:rsidRPr="00617370">
        <w:t xml:space="preserve">performance: earlier academic achievement and </w:t>
      </w:r>
      <w:r w:rsidR="00717681" w:rsidRPr="00617370">
        <w:t xml:space="preserve">being female. </w:t>
      </w:r>
      <w:r w:rsidR="001B47EA" w:rsidRPr="00617370">
        <w:t xml:space="preserve">These findings </w:t>
      </w:r>
      <w:r w:rsidR="007F51B4" w:rsidRPr="00617370">
        <w:t xml:space="preserve">are reflected in several other studies which show </w:t>
      </w:r>
      <w:r w:rsidR="001B47EA" w:rsidRPr="00617370">
        <w:t>prior academic achievement</w:t>
      </w:r>
      <w:r w:rsidR="007F51B4" w:rsidRPr="00617370">
        <w:t xml:space="preserve"> </w:t>
      </w:r>
      <w:r w:rsidR="00F5458B" w:rsidRPr="00617370">
        <w:t xml:space="preserve">to </w:t>
      </w:r>
      <w:r w:rsidR="0002225A" w:rsidRPr="00617370">
        <w:t xml:space="preserve">have </w:t>
      </w:r>
      <w:r w:rsidR="007F51B4" w:rsidRPr="00617370">
        <w:t xml:space="preserve">the greatest </w:t>
      </w:r>
      <w:r w:rsidR="001B47EA" w:rsidRPr="00617370">
        <w:t>effect on tertiary entrance performance</w:t>
      </w:r>
      <w:r w:rsidR="001B47EA" w:rsidRPr="00617370" w:rsidDel="00034D14">
        <w:t xml:space="preserve"> </w:t>
      </w:r>
      <w:r w:rsidR="001B47EA" w:rsidRPr="00617370">
        <w:t>(</w:t>
      </w:r>
      <w:r w:rsidR="006D14E9" w:rsidRPr="00617370">
        <w:t xml:space="preserve">Houng &amp; Justman 2015; </w:t>
      </w:r>
      <w:r w:rsidR="00E777E8" w:rsidRPr="00617370">
        <w:t xml:space="preserve">Marks, </w:t>
      </w:r>
      <w:r w:rsidR="009E2D4B" w:rsidRPr="00617370">
        <w:t xml:space="preserve">McMillan &amp; </w:t>
      </w:r>
      <w:r w:rsidR="00E777E8" w:rsidRPr="00617370">
        <w:t>Hillman 2001; Marks 2010</w:t>
      </w:r>
      <w:r w:rsidR="009E2D4B" w:rsidRPr="00617370">
        <w:t xml:space="preserve">, </w:t>
      </w:r>
      <w:r w:rsidR="00E777E8" w:rsidRPr="00617370">
        <w:t>2019</w:t>
      </w:r>
      <w:r w:rsidR="001B47EA" w:rsidRPr="00617370">
        <w:t>)</w:t>
      </w:r>
      <w:r w:rsidR="00BB0CF8" w:rsidRPr="00617370">
        <w:t xml:space="preserve">. </w:t>
      </w:r>
    </w:p>
    <w:p w14:paraId="2B4EAB72" w14:textId="1FC6C241" w:rsidR="00225222" w:rsidRPr="00617370" w:rsidRDefault="00F915B7" w:rsidP="00D717E6">
      <w:pPr>
        <w:pStyle w:val="Text"/>
      </w:pPr>
      <w:r w:rsidRPr="00617370">
        <w:t>In the context of</w:t>
      </w:r>
      <w:r w:rsidR="00B56632" w:rsidRPr="00617370">
        <w:t xml:space="preserve"> </w:t>
      </w:r>
      <w:r w:rsidR="002648EB" w:rsidRPr="00617370">
        <w:t xml:space="preserve">high achievers, </w:t>
      </w:r>
      <w:r w:rsidR="00B56632" w:rsidRPr="00617370">
        <w:t>o</w:t>
      </w:r>
      <w:r w:rsidR="00141C31" w:rsidRPr="00617370">
        <w:t xml:space="preserve">ur study </w:t>
      </w:r>
      <w:r w:rsidRPr="00617370">
        <w:t>highlights</w:t>
      </w:r>
      <w:r w:rsidR="00141C31" w:rsidRPr="00617370">
        <w:t xml:space="preserve"> </w:t>
      </w:r>
      <w:r w:rsidR="00A32E0F" w:rsidRPr="00617370">
        <w:t>the importance of prior educational achievement and the limited effect of other background characteristics</w:t>
      </w:r>
      <w:r w:rsidR="00E02C46" w:rsidRPr="00617370">
        <w:t xml:space="preserve">. </w:t>
      </w:r>
      <w:r w:rsidR="005C2EAC" w:rsidRPr="00617370">
        <w:t>S</w:t>
      </w:r>
      <w:r w:rsidR="002C4EDD" w:rsidRPr="00617370">
        <w:t xml:space="preserve">tudents with higher levels of academic achievement are almost twice as likely to </w:t>
      </w:r>
      <w:r w:rsidR="00000A07" w:rsidRPr="00617370">
        <w:t>achieve</w:t>
      </w:r>
      <w:r w:rsidR="002C4EDD" w:rsidRPr="00617370">
        <w:t xml:space="preserve"> ATAR scores of 90 or above, </w:t>
      </w:r>
      <w:r w:rsidR="00651A36" w:rsidRPr="00617370">
        <w:t>controlling for</w:t>
      </w:r>
      <w:r w:rsidR="002648EB" w:rsidRPr="00617370">
        <w:t xml:space="preserve"> </w:t>
      </w:r>
      <w:r w:rsidR="002C4EDD" w:rsidRPr="00617370">
        <w:t>their</w:t>
      </w:r>
      <w:r w:rsidR="00000A07" w:rsidRPr="00617370">
        <w:t xml:space="preserve"> socioeconomic</w:t>
      </w:r>
      <w:r w:rsidR="00190C9B" w:rsidRPr="00617370">
        <w:t xml:space="preserve"> </w:t>
      </w:r>
      <w:r w:rsidR="00B12423" w:rsidRPr="00617370">
        <w:t>or language</w:t>
      </w:r>
      <w:r w:rsidR="00000A07" w:rsidRPr="00617370">
        <w:t xml:space="preserve"> </w:t>
      </w:r>
      <w:r w:rsidR="00190C9B" w:rsidRPr="00617370">
        <w:t>background</w:t>
      </w:r>
      <w:r w:rsidR="0009545B" w:rsidRPr="00617370">
        <w:t>,</w:t>
      </w:r>
      <w:r w:rsidR="00190C9B" w:rsidRPr="00617370">
        <w:t xml:space="preserve"> </w:t>
      </w:r>
      <w:r w:rsidR="00586843" w:rsidRPr="00617370">
        <w:t>gender</w:t>
      </w:r>
      <w:r w:rsidR="0029770B" w:rsidRPr="00617370">
        <w:t xml:space="preserve"> </w:t>
      </w:r>
      <w:r w:rsidR="00BE7A49" w:rsidRPr="00617370">
        <w:t xml:space="preserve">and </w:t>
      </w:r>
      <w:r w:rsidR="00190C9B" w:rsidRPr="00617370">
        <w:t>indigeneity</w:t>
      </w:r>
      <w:r w:rsidR="00BB0CF8" w:rsidRPr="00617370">
        <w:t xml:space="preserve">. </w:t>
      </w:r>
      <w:r w:rsidR="001A2C6A" w:rsidRPr="00617370">
        <w:t>A</w:t>
      </w:r>
      <w:r w:rsidR="007C00BB" w:rsidRPr="00617370">
        <w:t xml:space="preserve"> position of socioeconomic advantage </w:t>
      </w:r>
      <w:r w:rsidR="0E0E4FEC" w:rsidRPr="00617370">
        <w:t xml:space="preserve">alone </w:t>
      </w:r>
      <w:r w:rsidR="007C00BB" w:rsidRPr="00617370">
        <w:t xml:space="preserve">does not </w:t>
      </w:r>
      <w:r w:rsidR="00785B2E" w:rsidRPr="00617370">
        <w:t xml:space="preserve">translate to </w:t>
      </w:r>
      <w:r w:rsidR="004E403E" w:rsidRPr="00617370">
        <w:t xml:space="preserve">exceptional </w:t>
      </w:r>
      <w:r w:rsidR="00D66705" w:rsidRPr="00617370">
        <w:t xml:space="preserve">academic </w:t>
      </w:r>
      <w:r w:rsidR="007C00BB" w:rsidRPr="00617370">
        <w:t>success</w:t>
      </w:r>
      <w:r w:rsidR="00A0130D" w:rsidRPr="00617370">
        <w:t xml:space="preserve">. </w:t>
      </w:r>
      <w:r w:rsidR="00971D7F" w:rsidRPr="00617370">
        <w:t>Instead, s</w:t>
      </w:r>
      <w:r w:rsidR="00595BEF" w:rsidRPr="00617370">
        <w:t xml:space="preserve">trong foundational skills </w:t>
      </w:r>
      <w:r w:rsidR="00C54749" w:rsidRPr="00617370">
        <w:t xml:space="preserve">are key, regardless of </w:t>
      </w:r>
      <w:r w:rsidR="00941CBB" w:rsidRPr="00617370">
        <w:t xml:space="preserve">a </w:t>
      </w:r>
      <w:r w:rsidR="00C54749" w:rsidRPr="00617370">
        <w:t>student</w:t>
      </w:r>
      <w:r w:rsidR="009B7690" w:rsidRPr="00617370">
        <w:t>’</w:t>
      </w:r>
      <w:r w:rsidR="00C54749" w:rsidRPr="00617370">
        <w:t>s background</w:t>
      </w:r>
      <w:r w:rsidR="0077433E" w:rsidRPr="00617370">
        <w:t xml:space="preserve">. </w:t>
      </w:r>
      <w:r w:rsidR="008F76B9" w:rsidRPr="00617370">
        <w:t>Doing</w:t>
      </w:r>
      <w:r w:rsidR="002617A1" w:rsidRPr="00617370">
        <w:t xml:space="preserve"> </w:t>
      </w:r>
      <w:r w:rsidR="00D650C8" w:rsidRPr="00617370">
        <w:t xml:space="preserve">well at school can therefore </w:t>
      </w:r>
      <w:r w:rsidR="005A2E85" w:rsidRPr="00617370">
        <w:t xml:space="preserve">protect students </w:t>
      </w:r>
      <w:r w:rsidR="002807DA" w:rsidRPr="00617370">
        <w:t xml:space="preserve">from </w:t>
      </w:r>
      <w:r w:rsidR="00EA4784" w:rsidRPr="00617370">
        <w:t xml:space="preserve">the poorer outcomes that </w:t>
      </w:r>
      <w:r w:rsidR="000E15B5" w:rsidRPr="00617370">
        <w:t xml:space="preserve">are </w:t>
      </w:r>
      <w:r w:rsidR="00EA4784" w:rsidRPr="00617370">
        <w:t xml:space="preserve">often </w:t>
      </w:r>
      <w:r w:rsidR="00F96444" w:rsidRPr="00617370">
        <w:t>associated</w:t>
      </w:r>
      <w:r w:rsidR="00EA4784" w:rsidRPr="00617370">
        <w:t xml:space="preserve"> with disadvantage</w:t>
      </w:r>
      <w:r w:rsidR="009A74E2" w:rsidRPr="00617370">
        <w:t>.</w:t>
      </w:r>
      <w:r w:rsidR="00B329D0" w:rsidRPr="00617370">
        <w:t xml:space="preserve"> Houng </w:t>
      </w:r>
      <w:r w:rsidR="00675369" w:rsidRPr="00617370">
        <w:t>and</w:t>
      </w:r>
      <w:r w:rsidR="00B329D0" w:rsidRPr="00617370">
        <w:t xml:space="preserve"> Justman (2015)</w:t>
      </w:r>
      <w:r w:rsidR="00612B40" w:rsidRPr="00617370">
        <w:t xml:space="preserve"> also</w:t>
      </w:r>
      <w:r w:rsidR="001C0E2D" w:rsidRPr="00617370">
        <w:t xml:space="preserve"> </w:t>
      </w:r>
      <w:r w:rsidR="00AE78F0" w:rsidRPr="00617370">
        <w:t xml:space="preserve">found </w:t>
      </w:r>
      <w:r w:rsidR="008F76B9" w:rsidRPr="00617370">
        <w:t xml:space="preserve">that </w:t>
      </w:r>
      <w:r w:rsidR="00AE78F0" w:rsidRPr="00617370">
        <w:t xml:space="preserve">performing well </w:t>
      </w:r>
      <w:r w:rsidR="00AA61C3" w:rsidRPr="00617370">
        <w:t xml:space="preserve">in </w:t>
      </w:r>
      <w:r w:rsidR="00D23350" w:rsidRPr="00617370">
        <w:t>Year 9</w:t>
      </w:r>
      <w:r w:rsidR="00AA61C3" w:rsidRPr="00617370">
        <w:t xml:space="preserve"> </w:t>
      </w:r>
      <w:r w:rsidR="00AA61C3" w:rsidRPr="00617370">
        <w:lastRenderedPageBreak/>
        <w:t xml:space="preserve">NAPLAN </w:t>
      </w:r>
      <w:r w:rsidR="00C64407" w:rsidRPr="00617370">
        <w:t xml:space="preserve">tests </w:t>
      </w:r>
      <w:r w:rsidR="00E7339B" w:rsidRPr="00617370">
        <w:t>to be</w:t>
      </w:r>
      <w:r w:rsidR="00AA61C3" w:rsidRPr="00617370">
        <w:t xml:space="preserve"> an </w:t>
      </w:r>
      <w:r w:rsidR="73741E94" w:rsidRPr="00617370">
        <w:t>important</w:t>
      </w:r>
      <w:r w:rsidR="00AA61C3" w:rsidRPr="00617370">
        <w:t xml:space="preserve"> condition for achie</w:t>
      </w:r>
      <w:r w:rsidR="0059194D" w:rsidRPr="00617370">
        <w:t>ving an ATAR of 90</w:t>
      </w:r>
      <w:r w:rsidR="00AB0EBB" w:rsidRPr="00617370">
        <w:t xml:space="preserve"> or above</w:t>
      </w:r>
      <w:r w:rsidR="00A82DC2" w:rsidRPr="00617370">
        <w:t xml:space="preserve">. </w:t>
      </w:r>
      <w:r w:rsidR="009C3011" w:rsidRPr="00617370">
        <w:t xml:space="preserve">Their </w:t>
      </w:r>
      <w:r w:rsidR="00147788" w:rsidRPr="00617370">
        <w:t>study showed</w:t>
      </w:r>
      <w:r w:rsidR="7B940499" w:rsidRPr="00617370">
        <w:t xml:space="preserve"> that</w:t>
      </w:r>
      <w:r w:rsidR="00147788" w:rsidRPr="00617370">
        <w:t xml:space="preserve">, </w:t>
      </w:r>
      <w:r w:rsidR="00664C1F" w:rsidRPr="00617370">
        <w:t xml:space="preserve">while </w:t>
      </w:r>
      <w:r w:rsidR="009C3011" w:rsidRPr="00617370">
        <w:t xml:space="preserve">the combination of </w:t>
      </w:r>
      <w:r w:rsidR="00A472F6" w:rsidRPr="00617370">
        <w:t xml:space="preserve">a </w:t>
      </w:r>
      <w:r w:rsidR="00BB2905" w:rsidRPr="00617370">
        <w:t xml:space="preserve">higher socioeconomic </w:t>
      </w:r>
      <w:r w:rsidR="00B175D5" w:rsidRPr="00617370">
        <w:t xml:space="preserve">background </w:t>
      </w:r>
      <w:r w:rsidR="009C3011" w:rsidRPr="00617370">
        <w:t xml:space="preserve">and higher achievement scores led to an increased likelihood of achieving an ATAR of 90 or above, students with very high (or very low) test scores were less affected by their </w:t>
      </w:r>
      <w:r w:rsidR="006B3BE9" w:rsidRPr="00617370">
        <w:t>socioeconomic status</w:t>
      </w:r>
      <w:r w:rsidR="000B7E4A" w:rsidRPr="00617370">
        <w:t xml:space="preserve">. Performing well at school is therefore a necessary condition for achieving an ATAR of 90 or above. </w:t>
      </w:r>
    </w:p>
    <w:p w14:paraId="0C198A8C" w14:textId="04E90621" w:rsidR="002648EB" w:rsidRPr="00617370" w:rsidRDefault="00C40114" w:rsidP="00D717E6">
      <w:pPr>
        <w:pStyle w:val="Text"/>
      </w:pPr>
      <w:r w:rsidRPr="00617370">
        <w:t xml:space="preserve">Our </w:t>
      </w:r>
      <w:r w:rsidR="001D66AA" w:rsidRPr="00617370">
        <w:t xml:space="preserve">analysis </w:t>
      </w:r>
      <w:r w:rsidRPr="00617370">
        <w:t xml:space="preserve">also </w:t>
      </w:r>
      <w:r w:rsidR="00262CE0" w:rsidRPr="00617370">
        <w:t>demonstrated</w:t>
      </w:r>
      <w:r w:rsidR="00D430D8" w:rsidRPr="00617370">
        <w:t xml:space="preserve"> th</w:t>
      </w:r>
      <w:r w:rsidR="00D02E7A" w:rsidRPr="00617370">
        <w:t>at</w:t>
      </w:r>
      <w:r w:rsidR="00B24D6A" w:rsidRPr="00617370">
        <w:t>,</w:t>
      </w:r>
      <w:r w:rsidR="00D02E7A" w:rsidRPr="00617370">
        <w:t xml:space="preserve"> while schools p</w:t>
      </w:r>
      <w:r w:rsidR="0018799F" w:rsidRPr="00617370">
        <w:t xml:space="preserve">lay a role in influencing </w:t>
      </w:r>
      <w:r w:rsidR="00A96124" w:rsidRPr="00617370">
        <w:t>students’ attainment of</w:t>
      </w:r>
      <w:r w:rsidR="004B3A90" w:rsidRPr="00617370">
        <w:t xml:space="preserve"> an ATAR, </w:t>
      </w:r>
      <w:r w:rsidR="00766056" w:rsidRPr="00617370">
        <w:t>th</w:t>
      </w:r>
      <w:r w:rsidR="00746458" w:rsidRPr="00617370">
        <w:t>eir</w:t>
      </w:r>
      <w:r w:rsidR="00766056" w:rsidRPr="00617370">
        <w:t xml:space="preserve"> </w:t>
      </w:r>
      <w:r w:rsidR="000C3634" w:rsidRPr="00617370">
        <w:t xml:space="preserve">impact is </w:t>
      </w:r>
      <w:r w:rsidR="00716242" w:rsidRPr="00617370">
        <w:t>relatively small</w:t>
      </w:r>
      <w:r w:rsidR="008C32A7" w:rsidRPr="00617370">
        <w:t xml:space="preserve"> </w:t>
      </w:r>
      <w:r w:rsidR="006E52B9" w:rsidRPr="00617370">
        <w:t xml:space="preserve">by comparison with </w:t>
      </w:r>
      <w:r w:rsidR="008C32A7" w:rsidRPr="00617370">
        <w:t xml:space="preserve">the </w:t>
      </w:r>
      <w:r w:rsidR="00B37D8D" w:rsidRPr="00617370">
        <w:t xml:space="preserve">student’s </w:t>
      </w:r>
      <w:r w:rsidR="008C32A7" w:rsidRPr="00617370">
        <w:t>individual characteristics</w:t>
      </w:r>
      <w:r w:rsidR="00766056" w:rsidRPr="00617370">
        <w:t xml:space="preserve">. </w:t>
      </w:r>
      <w:r w:rsidR="007C5846" w:rsidRPr="00617370">
        <w:t>M</w:t>
      </w:r>
      <w:r w:rsidR="00D4707D" w:rsidRPr="00617370">
        <w:t xml:space="preserve">ost of the variation in </w:t>
      </w:r>
      <w:r w:rsidR="00177462" w:rsidRPr="00617370">
        <w:t>a</w:t>
      </w:r>
      <w:r w:rsidR="00D4707D" w:rsidRPr="00617370">
        <w:t xml:space="preserve"> student</w:t>
      </w:r>
      <w:r w:rsidR="00177462" w:rsidRPr="00617370">
        <w:t>’s</w:t>
      </w:r>
      <w:r w:rsidR="00D4707D" w:rsidRPr="00617370">
        <w:t xml:space="preserve"> </w:t>
      </w:r>
      <w:r w:rsidR="004B3A90" w:rsidRPr="00617370">
        <w:t xml:space="preserve">ATAR </w:t>
      </w:r>
      <w:r w:rsidR="00D4707D" w:rsidRPr="00617370">
        <w:t xml:space="preserve">score can be attributed to their </w:t>
      </w:r>
      <w:r w:rsidR="00076D1B" w:rsidRPr="00617370">
        <w:t xml:space="preserve">demographic profile or </w:t>
      </w:r>
      <w:r w:rsidR="00A01350" w:rsidRPr="00617370">
        <w:t xml:space="preserve">academic ability rather than the school they attend. </w:t>
      </w:r>
      <w:r w:rsidR="00722279" w:rsidRPr="00617370">
        <w:t>We found that schools were responsible for about 13% of the variation in tertiary entrance scores</w:t>
      </w:r>
      <w:r w:rsidR="00E72184" w:rsidRPr="00617370">
        <w:t xml:space="preserve">. </w:t>
      </w:r>
      <w:r w:rsidR="00BB7D3C" w:rsidRPr="00617370">
        <w:t xml:space="preserve">Other </w:t>
      </w:r>
      <w:r w:rsidR="00411EEF" w:rsidRPr="00617370">
        <w:t xml:space="preserve">comparable </w:t>
      </w:r>
      <w:r w:rsidR="00BB7D3C" w:rsidRPr="00617370">
        <w:t xml:space="preserve">studies </w:t>
      </w:r>
      <w:r w:rsidR="007F1C52" w:rsidRPr="00617370">
        <w:t>arrived at similar conclusions</w:t>
      </w:r>
      <w:r w:rsidR="009B5E91" w:rsidRPr="00617370">
        <w:t>,</w:t>
      </w:r>
      <w:r w:rsidR="004B6831" w:rsidRPr="00617370">
        <w:t xml:space="preserve"> </w:t>
      </w:r>
      <w:r w:rsidR="001B1FDA" w:rsidRPr="00617370">
        <w:t xml:space="preserve">with school </w:t>
      </w:r>
      <w:r w:rsidR="00996934" w:rsidRPr="00617370">
        <w:t xml:space="preserve">factors accounting for </w:t>
      </w:r>
      <w:r w:rsidR="001B1FDA" w:rsidRPr="00617370">
        <w:t>between 10</w:t>
      </w:r>
      <w:r w:rsidR="007F1C52" w:rsidRPr="00617370">
        <w:t xml:space="preserve"> and </w:t>
      </w:r>
      <w:r w:rsidR="001B1FDA" w:rsidRPr="00617370">
        <w:t xml:space="preserve">20% of the variation in </w:t>
      </w:r>
      <w:r w:rsidR="00996934" w:rsidRPr="00617370">
        <w:t xml:space="preserve">tertiary entrance scores </w:t>
      </w:r>
      <w:r w:rsidR="00551F06" w:rsidRPr="00617370">
        <w:t>(</w:t>
      </w:r>
      <w:r w:rsidR="00BB7D3C" w:rsidRPr="00617370">
        <w:t>Gemici</w:t>
      </w:r>
      <w:r w:rsidR="00551F06" w:rsidRPr="00617370">
        <w:t xml:space="preserve">, Lim &amp; Karmel </w:t>
      </w:r>
      <w:r w:rsidR="00BD4D7F" w:rsidRPr="00617370">
        <w:t>2013</w:t>
      </w:r>
      <w:r w:rsidR="00551F06" w:rsidRPr="00617370">
        <w:t xml:space="preserve">; </w:t>
      </w:r>
      <w:r w:rsidR="002F0CFE" w:rsidRPr="00617370">
        <w:t>Marks 2010</w:t>
      </w:r>
      <w:r w:rsidR="00996934" w:rsidRPr="00617370">
        <w:t>).</w:t>
      </w:r>
    </w:p>
    <w:p w14:paraId="0DC92A49" w14:textId="5835259B" w:rsidR="009002D9" w:rsidRPr="00617370" w:rsidRDefault="004A54E9" w:rsidP="009D498C">
      <w:pPr>
        <w:pStyle w:val="Text"/>
      </w:pPr>
      <w:r w:rsidRPr="00617370">
        <w:t xml:space="preserve">It is worth noting </w:t>
      </w:r>
      <w:r w:rsidR="00CA1B55" w:rsidRPr="00617370">
        <w:t xml:space="preserve">that </w:t>
      </w:r>
      <w:r w:rsidRPr="00617370">
        <w:t xml:space="preserve">these </w:t>
      </w:r>
      <w:r w:rsidR="00F753A1" w:rsidRPr="00617370">
        <w:t xml:space="preserve">earlier </w:t>
      </w:r>
      <w:r w:rsidR="0063064A" w:rsidRPr="00617370">
        <w:t xml:space="preserve">studies </w:t>
      </w:r>
      <w:r w:rsidR="0063064A" w:rsidRPr="00617370">
        <w:rPr>
          <w:rStyle w:val="ui-provider"/>
        </w:rPr>
        <w:t>explored multiple school factors</w:t>
      </w:r>
      <w:r w:rsidR="004905B1" w:rsidRPr="00617370">
        <w:rPr>
          <w:rStyle w:val="ui-provider"/>
        </w:rPr>
        <w:t xml:space="preserve">, including </w:t>
      </w:r>
      <w:r w:rsidR="0063064A" w:rsidRPr="00617370">
        <w:rPr>
          <w:rStyle w:val="ui-provider"/>
        </w:rPr>
        <w:t>compositional effects</w:t>
      </w:r>
      <w:r w:rsidR="00AF1C1C" w:rsidRPr="00617370">
        <w:rPr>
          <w:rStyle w:val="ui-provider"/>
        </w:rPr>
        <w:t>,</w:t>
      </w:r>
      <w:r w:rsidR="0063064A" w:rsidRPr="00617370">
        <w:rPr>
          <w:rStyle w:val="ui-provider"/>
        </w:rPr>
        <w:t xml:space="preserve"> such as school sector, gender mix, socioeconomic status or </w:t>
      </w:r>
      <w:r w:rsidR="00467406" w:rsidRPr="00617370">
        <w:rPr>
          <w:rStyle w:val="ui-provider"/>
        </w:rPr>
        <w:t xml:space="preserve">the </w:t>
      </w:r>
      <w:r w:rsidR="0063064A" w:rsidRPr="00617370">
        <w:rPr>
          <w:rStyle w:val="ui-provider"/>
        </w:rPr>
        <w:t>academic context of the school, and structural effects</w:t>
      </w:r>
      <w:r w:rsidR="00AF1C1C" w:rsidRPr="00617370">
        <w:rPr>
          <w:rStyle w:val="ui-provider"/>
        </w:rPr>
        <w:t>,</w:t>
      </w:r>
      <w:r w:rsidR="0063064A" w:rsidRPr="00617370">
        <w:rPr>
          <w:rStyle w:val="ui-provider"/>
        </w:rPr>
        <w:t xml:space="preserve"> </w:t>
      </w:r>
      <w:r w:rsidR="5CE95C71" w:rsidRPr="00617370">
        <w:rPr>
          <w:rStyle w:val="ui-provider"/>
        </w:rPr>
        <w:t>including</w:t>
      </w:r>
      <w:r w:rsidR="0063064A" w:rsidRPr="00617370">
        <w:rPr>
          <w:rStyle w:val="ui-provider"/>
        </w:rPr>
        <w:t xml:space="preserve"> school size and resources. </w:t>
      </w:r>
      <w:r w:rsidR="0063064A" w:rsidRPr="00617370">
        <w:t>D</w:t>
      </w:r>
      <w:r w:rsidR="0063064A" w:rsidRPr="00617370">
        <w:rPr>
          <w:rStyle w:val="ui-provider"/>
        </w:rPr>
        <w:t>espite the inclusion of a comprehensive suite of school-level measures, only a handful of measures were found to be important</w:t>
      </w:r>
      <w:r w:rsidR="00D91C7A" w:rsidRPr="00617370">
        <w:rPr>
          <w:rStyle w:val="ui-provider"/>
        </w:rPr>
        <w:t xml:space="preserve"> in these studies</w:t>
      </w:r>
      <w:r w:rsidR="0063064A" w:rsidRPr="00617370">
        <w:rPr>
          <w:rStyle w:val="ui-provider"/>
        </w:rPr>
        <w:t>.</w:t>
      </w:r>
      <w:r w:rsidR="004905B1" w:rsidRPr="00617370">
        <w:rPr>
          <w:rStyle w:val="ui-provider"/>
        </w:rPr>
        <w:t xml:space="preserve"> </w:t>
      </w:r>
      <w:r w:rsidR="009D498C" w:rsidRPr="00617370">
        <w:rPr>
          <w:lang w:val="en-US"/>
        </w:rPr>
        <w:t>Gemici</w:t>
      </w:r>
      <w:r w:rsidR="00BD4D7F" w:rsidRPr="00617370">
        <w:rPr>
          <w:lang w:val="en-US"/>
        </w:rPr>
        <w:t xml:space="preserve">, Lim and Karmel (2013) </w:t>
      </w:r>
      <w:r w:rsidR="009D498C" w:rsidRPr="00617370">
        <w:rPr>
          <w:lang w:val="en-US"/>
        </w:rPr>
        <w:t xml:space="preserve">found </w:t>
      </w:r>
      <w:r w:rsidR="007C30B4" w:rsidRPr="00617370">
        <w:rPr>
          <w:lang w:val="en-US"/>
        </w:rPr>
        <w:t xml:space="preserve">that </w:t>
      </w:r>
      <w:r w:rsidR="009D498C" w:rsidRPr="00617370">
        <w:rPr>
          <w:lang w:val="en-US"/>
        </w:rPr>
        <w:t xml:space="preserve">school sector, gender mix and the academic orientation of the school </w:t>
      </w:r>
      <w:r w:rsidR="00486925" w:rsidRPr="00617370">
        <w:rPr>
          <w:lang w:val="en-US"/>
        </w:rPr>
        <w:t>(</w:t>
      </w:r>
      <w:r w:rsidR="00736AB3" w:rsidRPr="00617370">
        <w:rPr>
          <w:lang w:val="en-US"/>
        </w:rPr>
        <w:t>measured by</w:t>
      </w:r>
      <w:r w:rsidR="00B06D20" w:rsidRPr="00617370">
        <w:rPr>
          <w:lang w:val="en-US"/>
        </w:rPr>
        <w:t xml:space="preserve"> pressure from parents, </w:t>
      </w:r>
      <w:r w:rsidR="00AF2F14" w:rsidRPr="00617370">
        <w:rPr>
          <w:lang w:val="en-US"/>
        </w:rPr>
        <w:t xml:space="preserve">student selection criteria </w:t>
      </w:r>
      <w:r w:rsidR="00486925" w:rsidRPr="00617370">
        <w:rPr>
          <w:lang w:val="en-US"/>
        </w:rPr>
        <w:t xml:space="preserve">and </w:t>
      </w:r>
      <w:r w:rsidR="00AF2F14" w:rsidRPr="00617370">
        <w:rPr>
          <w:lang w:val="en-US"/>
        </w:rPr>
        <w:t>streaming</w:t>
      </w:r>
      <w:r w:rsidR="00486925" w:rsidRPr="00617370">
        <w:rPr>
          <w:lang w:val="en-US"/>
        </w:rPr>
        <w:t>)</w:t>
      </w:r>
      <w:r w:rsidR="00736AB3" w:rsidRPr="00617370">
        <w:rPr>
          <w:lang w:val="en-US"/>
        </w:rPr>
        <w:t xml:space="preserve"> </w:t>
      </w:r>
      <w:r w:rsidR="009D498C" w:rsidRPr="00617370">
        <w:rPr>
          <w:lang w:val="en-US"/>
        </w:rPr>
        <w:t xml:space="preserve">were the most important characteristics, while </w:t>
      </w:r>
      <w:r w:rsidR="00AF2F14" w:rsidRPr="00617370">
        <w:rPr>
          <w:lang w:val="en-US"/>
        </w:rPr>
        <w:t xml:space="preserve">the </w:t>
      </w:r>
      <w:r w:rsidR="009D498C" w:rsidRPr="00617370">
        <w:rPr>
          <w:lang w:val="en-US"/>
        </w:rPr>
        <w:t xml:space="preserve">socioeconomic status of the school was not </w:t>
      </w:r>
      <w:r w:rsidR="002E7974" w:rsidRPr="00617370">
        <w:rPr>
          <w:lang w:val="en-US"/>
        </w:rPr>
        <w:t>identified as</w:t>
      </w:r>
      <w:r w:rsidR="009D498C" w:rsidRPr="00617370">
        <w:rPr>
          <w:lang w:val="en-US"/>
        </w:rPr>
        <w:t xml:space="preserve"> significant.</w:t>
      </w:r>
      <w:r w:rsidR="000228C3" w:rsidRPr="00617370">
        <w:rPr>
          <w:lang w:val="en-US"/>
        </w:rPr>
        <w:t xml:space="preserve"> </w:t>
      </w:r>
      <w:r w:rsidR="009002D9" w:rsidRPr="00617370">
        <w:t xml:space="preserve">Marks (2010) </w:t>
      </w:r>
      <w:r w:rsidR="00AF2F14" w:rsidRPr="00617370">
        <w:t xml:space="preserve">also used </w:t>
      </w:r>
      <w:r w:rsidR="00085933" w:rsidRPr="00617370">
        <w:t xml:space="preserve">a range of </w:t>
      </w:r>
      <w:r w:rsidR="009002D9" w:rsidRPr="00617370">
        <w:t>school-based measures</w:t>
      </w:r>
      <w:r w:rsidR="00F17511" w:rsidRPr="00617370">
        <w:t>,</w:t>
      </w:r>
      <w:r w:rsidR="009002D9" w:rsidRPr="00617370">
        <w:t xml:space="preserve"> alongside student-level measures</w:t>
      </w:r>
      <w:r w:rsidR="00F17511" w:rsidRPr="00617370">
        <w:t>,</w:t>
      </w:r>
      <w:r w:rsidR="009002D9" w:rsidRPr="00617370">
        <w:t xml:space="preserve"> to explore their combined effect on university entrance scores</w:t>
      </w:r>
      <w:r w:rsidR="005D320B" w:rsidRPr="00617370">
        <w:t xml:space="preserve"> </w:t>
      </w:r>
      <w:r w:rsidR="00736AB3" w:rsidRPr="00617370">
        <w:t xml:space="preserve">and </w:t>
      </w:r>
      <w:r w:rsidR="005D320B" w:rsidRPr="00617370">
        <w:t>f</w:t>
      </w:r>
      <w:r w:rsidR="00085933" w:rsidRPr="00617370">
        <w:t>ou</w:t>
      </w:r>
      <w:r w:rsidR="005D320B" w:rsidRPr="00617370">
        <w:t xml:space="preserve">nd </w:t>
      </w:r>
      <w:r w:rsidR="00F17511" w:rsidRPr="00617370">
        <w:t xml:space="preserve">that </w:t>
      </w:r>
      <w:r w:rsidR="009002D9" w:rsidRPr="00617370">
        <w:t>only the school’s average academic achievement and academic orientation (</w:t>
      </w:r>
      <w:r w:rsidR="00F17511" w:rsidRPr="00617370">
        <w:t>that is,</w:t>
      </w:r>
      <w:r w:rsidR="009002D9" w:rsidRPr="00617370">
        <w:t xml:space="preserve"> pressure for students to do well) had a large effect on tertiary entrance scores, while </w:t>
      </w:r>
      <w:r w:rsidR="0B00EE1A" w:rsidRPr="00617370">
        <w:t>the effects of</w:t>
      </w:r>
      <w:r w:rsidR="009002D9" w:rsidRPr="00617370">
        <w:t xml:space="preserve"> teacher resources (</w:t>
      </w:r>
      <w:r w:rsidR="0036112D" w:rsidRPr="00617370">
        <w:t>that is,</w:t>
      </w:r>
      <w:r w:rsidR="005E5762" w:rsidRPr="00617370">
        <w:t xml:space="preserve"> </w:t>
      </w:r>
      <w:r w:rsidR="009002D9" w:rsidRPr="00617370">
        <w:t xml:space="preserve">availability of qualified teachers and teacher ability) were found to be moderate. Marks </w:t>
      </w:r>
      <w:r w:rsidR="00053A79" w:rsidRPr="00617370">
        <w:t xml:space="preserve">also </w:t>
      </w:r>
      <w:r w:rsidR="00904BF2" w:rsidRPr="00617370">
        <w:t>identified</w:t>
      </w:r>
      <w:r w:rsidR="009002D9" w:rsidRPr="00617370">
        <w:t xml:space="preserve"> </w:t>
      </w:r>
      <w:r w:rsidR="009F5C68" w:rsidRPr="00617370">
        <w:t xml:space="preserve">that </w:t>
      </w:r>
      <w:r w:rsidR="009002D9" w:rsidRPr="00617370">
        <w:t xml:space="preserve">the school’s socioeconomic status did not influence tertiary entrance performance when the academic performance of the school </w:t>
      </w:r>
      <w:r w:rsidR="004F5EA0" w:rsidRPr="00617370">
        <w:t xml:space="preserve">and student characteristics were </w:t>
      </w:r>
      <w:r w:rsidR="00BC1436" w:rsidRPr="00617370">
        <w:t xml:space="preserve">taken into </w:t>
      </w:r>
      <w:r w:rsidR="009002D9" w:rsidRPr="00617370">
        <w:t>accoun</w:t>
      </w:r>
      <w:r w:rsidR="00BC1436" w:rsidRPr="00617370">
        <w:t>t</w:t>
      </w:r>
      <w:r w:rsidR="009002D9" w:rsidRPr="00617370">
        <w:t>.</w:t>
      </w:r>
    </w:p>
    <w:p w14:paraId="4892E293" w14:textId="53EC968C" w:rsidR="004E4CA5" w:rsidRPr="00617370" w:rsidRDefault="008749A0" w:rsidP="002648EB">
      <w:pPr>
        <w:pStyle w:val="Text"/>
        <w:rPr>
          <w:color w:val="7030A0"/>
        </w:rPr>
      </w:pPr>
      <w:r w:rsidRPr="00617370">
        <w:rPr>
          <w:rStyle w:val="ui-provider"/>
        </w:rPr>
        <w:t>This</w:t>
      </w:r>
      <w:r w:rsidR="000228C3" w:rsidRPr="00617370">
        <w:rPr>
          <w:rStyle w:val="ui-provider"/>
        </w:rPr>
        <w:t xml:space="preserve"> study</w:t>
      </w:r>
      <w:r w:rsidRPr="00617370">
        <w:rPr>
          <w:rStyle w:val="ui-provider"/>
        </w:rPr>
        <w:t>, by contrast,</w:t>
      </w:r>
      <w:r w:rsidR="000228C3" w:rsidRPr="00617370">
        <w:rPr>
          <w:rStyle w:val="ui-provider"/>
        </w:rPr>
        <w:t xml:space="preserve"> </w:t>
      </w:r>
      <w:r w:rsidR="001008DD" w:rsidRPr="00617370">
        <w:rPr>
          <w:rStyle w:val="ui-provider"/>
        </w:rPr>
        <w:t xml:space="preserve">tested </w:t>
      </w:r>
      <w:r w:rsidR="000228C3" w:rsidRPr="00617370">
        <w:rPr>
          <w:rStyle w:val="ui-provider"/>
        </w:rPr>
        <w:t>s</w:t>
      </w:r>
      <w:r w:rsidR="000228C3" w:rsidRPr="00617370">
        <w:t xml:space="preserve">everal different school measures </w:t>
      </w:r>
      <w:r w:rsidR="001008DD" w:rsidRPr="00617370">
        <w:t xml:space="preserve">for random effects </w:t>
      </w:r>
      <w:r w:rsidR="000228C3" w:rsidRPr="00617370">
        <w:t xml:space="preserve">such as school sector, average </w:t>
      </w:r>
      <w:r w:rsidR="00836386" w:rsidRPr="00617370">
        <w:t xml:space="preserve">school </w:t>
      </w:r>
      <w:r w:rsidR="000228C3" w:rsidRPr="00617370">
        <w:t xml:space="preserve">NAPLAN scores, </w:t>
      </w:r>
      <w:r w:rsidR="00BC1436" w:rsidRPr="00617370">
        <w:t xml:space="preserve">the </w:t>
      </w:r>
      <w:r w:rsidR="000228C3" w:rsidRPr="00617370">
        <w:t>socioeconomic status of the school, and the survey design stratum (</w:t>
      </w:r>
      <w:r w:rsidR="00495AE7" w:rsidRPr="00617370">
        <w:t>that is,</w:t>
      </w:r>
      <w:r w:rsidR="000228C3" w:rsidRPr="00617370">
        <w:t xml:space="preserve"> </w:t>
      </w:r>
      <w:r w:rsidR="001136E3" w:rsidRPr="00617370">
        <w:t xml:space="preserve">school </w:t>
      </w:r>
      <w:r w:rsidR="000228C3" w:rsidRPr="00617370">
        <w:t>sector, state</w:t>
      </w:r>
      <w:r w:rsidR="00FD7A4D" w:rsidRPr="00617370">
        <w:t>/</w:t>
      </w:r>
      <w:r w:rsidR="00B64808" w:rsidRPr="00617370">
        <w:t xml:space="preserve">territory, </w:t>
      </w:r>
      <w:r w:rsidR="000228C3" w:rsidRPr="00617370">
        <w:t xml:space="preserve">and geographic location) but found a unique school identifier </w:t>
      </w:r>
      <w:r w:rsidR="002E0698" w:rsidRPr="00617370">
        <w:t xml:space="preserve">to </w:t>
      </w:r>
      <w:r w:rsidR="0008153A" w:rsidRPr="00617370">
        <w:t>be</w:t>
      </w:r>
      <w:r w:rsidR="002E0698" w:rsidRPr="00617370">
        <w:t xml:space="preserve"> the best fit for our models.</w:t>
      </w:r>
      <w:r w:rsidR="000228C3" w:rsidRPr="00617370">
        <w:t xml:space="preserve"> </w:t>
      </w:r>
      <w:r w:rsidR="000228C3" w:rsidRPr="00617370">
        <w:rPr>
          <w:rStyle w:val="ui-provider"/>
        </w:rPr>
        <w:t xml:space="preserve">Given </w:t>
      </w:r>
      <w:r w:rsidR="6145DD38" w:rsidRPr="00617370">
        <w:rPr>
          <w:rStyle w:val="ui-provider"/>
        </w:rPr>
        <w:t xml:space="preserve">that </w:t>
      </w:r>
      <w:r w:rsidR="000228C3" w:rsidRPr="00617370">
        <w:rPr>
          <w:rStyle w:val="ui-provider"/>
        </w:rPr>
        <w:t xml:space="preserve">the overall variation explained </w:t>
      </w:r>
      <w:r w:rsidR="008E0D52" w:rsidRPr="00617370">
        <w:rPr>
          <w:rStyle w:val="ui-provider"/>
        </w:rPr>
        <w:t xml:space="preserve">by school effects </w:t>
      </w:r>
      <w:r w:rsidR="000228C3" w:rsidRPr="00617370">
        <w:rPr>
          <w:rStyle w:val="ui-provider"/>
        </w:rPr>
        <w:t xml:space="preserve">across </w:t>
      </w:r>
      <w:r w:rsidR="6190EDD1" w:rsidRPr="00617370">
        <w:rPr>
          <w:rStyle w:val="ui-provider"/>
        </w:rPr>
        <w:t>other</w:t>
      </w:r>
      <w:r w:rsidR="000228C3" w:rsidRPr="00617370">
        <w:rPr>
          <w:rStyle w:val="ui-provider"/>
        </w:rPr>
        <w:t xml:space="preserve"> studies is comparable </w:t>
      </w:r>
      <w:r w:rsidR="00EC3CC3" w:rsidRPr="00617370">
        <w:rPr>
          <w:rStyle w:val="ui-provider"/>
        </w:rPr>
        <w:t>with</w:t>
      </w:r>
      <w:r w:rsidR="000228C3" w:rsidRPr="00617370">
        <w:rPr>
          <w:rStyle w:val="ui-provider"/>
        </w:rPr>
        <w:t xml:space="preserve"> our </w:t>
      </w:r>
      <w:r w:rsidR="0012242D" w:rsidRPr="00617370">
        <w:rPr>
          <w:rStyle w:val="ui-provider"/>
        </w:rPr>
        <w:t>analysis</w:t>
      </w:r>
      <w:r w:rsidR="000228C3" w:rsidRPr="00617370">
        <w:rPr>
          <w:rStyle w:val="ui-provider"/>
        </w:rPr>
        <w:t xml:space="preserve">, </w:t>
      </w:r>
      <w:r w:rsidR="004B1955" w:rsidRPr="00617370">
        <w:rPr>
          <w:rStyle w:val="ui-provider"/>
        </w:rPr>
        <w:t xml:space="preserve">it is evident that the effect of the school cannot be attributed to </w:t>
      </w:r>
      <w:r w:rsidR="00242F6E" w:rsidRPr="00617370">
        <w:rPr>
          <w:rStyle w:val="ui-provider"/>
        </w:rPr>
        <w:t>just one or two school characteristics</w:t>
      </w:r>
      <w:r w:rsidR="00701311" w:rsidRPr="00617370">
        <w:rPr>
          <w:rStyle w:val="ui-provider"/>
        </w:rPr>
        <w:t xml:space="preserve"> alone</w:t>
      </w:r>
      <w:r w:rsidR="00242F6E" w:rsidRPr="00617370">
        <w:rPr>
          <w:rStyle w:val="ui-provider"/>
        </w:rPr>
        <w:t xml:space="preserve">. </w:t>
      </w:r>
      <w:r w:rsidR="0064468C" w:rsidRPr="00617370">
        <w:rPr>
          <w:rStyle w:val="ui-provider"/>
        </w:rPr>
        <w:t>This</w:t>
      </w:r>
      <w:r w:rsidR="00210D10" w:rsidRPr="00617370">
        <w:rPr>
          <w:rStyle w:val="ui-provider"/>
        </w:rPr>
        <w:t xml:space="preserve"> study</w:t>
      </w:r>
      <w:r w:rsidR="001E23BA" w:rsidRPr="00617370">
        <w:rPr>
          <w:rStyle w:val="ui-provider"/>
        </w:rPr>
        <w:t>, on the other hand,</w:t>
      </w:r>
      <w:r w:rsidR="00210D10" w:rsidRPr="00617370">
        <w:rPr>
          <w:rStyle w:val="ui-provider"/>
        </w:rPr>
        <w:t xml:space="preserve"> points </w:t>
      </w:r>
      <w:r w:rsidR="000228C3" w:rsidRPr="00617370">
        <w:rPr>
          <w:rStyle w:val="ui-provider"/>
        </w:rPr>
        <w:t xml:space="preserve">to a unique combination of </w:t>
      </w:r>
      <w:r w:rsidR="000228C3" w:rsidRPr="00617370">
        <w:t>school-level factors that influence tertiary entrance performance</w:t>
      </w:r>
      <w:r w:rsidR="00A72983" w:rsidRPr="00617370">
        <w:t>.</w:t>
      </w:r>
    </w:p>
    <w:p w14:paraId="03FC623E" w14:textId="3C50DC45" w:rsidR="0008735E" w:rsidRPr="00617370" w:rsidRDefault="0008735E" w:rsidP="0008735E">
      <w:pPr>
        <w:pStyle w:val="Text"/>
        <w:rPr>
          <w:color w:val="7030A0"/>
        </w:rPr>
      </w:pPr>
    </w:p>
    <w:p w14:paraId="1423F885" w14:textId="77777777" w:rsidR="00E2220B" w:rsidRPr="00617370" w:rsidRDefault="00E2220B">
      <w:pPr>
        <w:spacing w:before="0" w:line="240" w:lineRule="auto"/>
        <w:rPr>
          <w:rFonts w:ascii="Arial" w:hAnsi="Arial" w:cs="Tahoma"/>
          <w:color w:val="000000"/>
          <w:kern w:val="28"/>
          <w:sz w:val="48"/>
          <w:szCs w:val="56"/>
        </w:rPr>
      </w:pPr>
      <w:r w:rsidRPr="00617370">
        <w:br w:type="page"/>
      </w:r>
    </w:p>
    <w:p w14:paraId="60972258" w14:textId="07DC36F3" w:rsidR="00324917" w:rsidRPr="00617370" w:rsidRDefault="00B1735E" w:rsidP="00324917">
      <w:pPr>
        <w:pStyle w:val="Heading1"/>
      </w:pPr>
      <w:bookmarkStart w:id="59" w:name="_Toc456000800"/>
      <w:bookmarkStart w:id="60" w:name="_Toc457122465"/>
      <w:bookmarkStart w:id="61" w:name="_Toc188077643"/>
      <w:bookmarkStart w:id="62" w:name="_Toc275543018"/>
      <w:bookmarkStart w:id="63" w:name="_Toc166511943"/>
      <w:bookmarkEnd w:id="35"/>
      <w:r w:rsidRPr="00617370">
        <w:rPr>
          <w:noProof/>
        </w:rPr>
        <w:lastRenderedPageBreak/>
        <w:drawing>
          <wp:anchor distT="0" distB="0" distL="114300" distR="114300" simplePos="0" relativeHeight="251673612" behindDoc="0" locked="0" layoutInCell="1" allowOverlap="1" wp14:anchorId="4A945ED9" wp14:editId="2634C3EC">
            <wp:simplePos x="0" y="0"/>
            <wp:positionH relativeFrom="column">
              <wp:posOffset>-635</wp:posOffset>
            </wp:positionH>
            <wp:positionV relativeFrom="paragraph">
              <wp:posOffset>0</wp:posOffset>
            </wp:positionV>
            <wp:extent cx="419100" cy="419100"/>
            <wp:effectExtent l="0" t="0" r="0" b="0"/>
            <wp:wrapSquare wrapText="bothSides"/>
            <wp:docPr id="10519096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09685" name="Picture 5"/>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anchor>
        </w:drawing>
      </w:r>
      <w:r w:rsidR="00324917" w:rsidRPr="00617370">
        <w:t>References</w:t>
      </w:r>
      <w:bookmarkEnd w:id="59"/>
      <w:bookmarkEnd w:id="60"/>
      <w:bookmarkEnd w:id="61"/>
      <w:bookmarkEnd w:id="62"/>
      <w:bookmarkEnd w:id="63"/>
      <w:r w:rsidR="00324917" w:rsidRPr="00617370">
        <w:t xml:space="preserve"> </w:t>
      </w:r>
    </w:p>
    <w:p w14:paraId="50B0BF69" w14:textId="55C64DBA" w:rsidR="00A37F1E" w:rsidRPr="00617370" w:rsidRDefault="00A37F1E" w:rsidP="00BB57AD">
      <w:pPr>
        <w:pStyle w:val="References"/>
      </w:pPr>
      <w:bookmarkStart w:id="64" w:name="_Toc275543019"/>
      <w:r w:rsidRPr="00617370">
        <w:t xml:space="preserve">Australian Department of Education 2017, </w:t>
      </w:r>
      <w:r w:rsidR="00272ED7" w:rsidRPr="00617370">
        <w:rPr>
          <w:i/>
        </w:rPr>
        <w:t xml:space="preserve">Improving the </w:t>
      </w:r>
      <w:r w:rsidR="003D6A3C" w:rsidRPr="00617370">
        <w:rPr>
          <w:i/>
        </w:rPr>
        <w:t xml:space="preserve">transparency of higher education admissions: </w:t>
      </w:r>
      <w:r w:rsidR="002B78E1" w:rsidRPr="00617370">
        <w:rPr>
          <w:i/>
        </w:rPr>
        <w:t>p</w:t>
      </w:r>
      <w:r w:rsidR="00D87499" w:rsidRPr="00617370">
        <w:rPr>
          <w:i/>
        </w:rPr>
        <w:t xml:space="preserve">hase </w:t>
      </w:r>
      <w:r w:rsidR="006E2694" w:rsidRPr="00617370">
        <w:rPr>
          <w:i/>
        </w:rPr>
        <w:t>two common terminology and information sets</w:t>
      </w:r>
      <w:r w:rsidR="00246D61" w:rsidRPr="00617370">
        <w:t xml:space="preserve">, </w:t>
      </w:r>
      <w:r w:rsidRPr="00617370">
        <w:t xml:space="preserve">Department of Education, Canberra. </w:t>
      </w:r>
    </w:p>
    <w:p w14:paraId="1BA5BA66" w14:textId="697F0A91" w:rsidR="001B5F83" w:rsidRPr="00617370" w:rsidRDefault="00DB3A46" w:rsidP="00BB57AD">
      <w:pPr>
        <w:pStyle w:val="References"/>
      </w:pPr>
      <w:r w:rsidRPr="00617370">
        <w:t>——</w:t>
      </w:r>
      <w:r w:rsidR="001B5F83" w:rsidRPr="00617370">
        <w:t xml:space="preserve">2016, </w:t>
      </w:r>
      <w:r w:rsidR="001B5F83" w:rsidRPr="00617370">
        <w:rPr>
          <w:iCs/>
        </w:rPr>
        <w:t>A review of the Longitudinal Surveys of Australian Youth</w:t>
      </w:r>
      <w:r w:rsidR="001B5F83" w:rsidRPr="00617370">
        <w:t>, Department of Education and Training, Canberra</w:t>
      </w:r>
      <w:r w:rsidR="00A50F5F" w:rsidRPr="00617370">
        <w:t xml:space="preserve">. </w:t>
      </w:r>
    </w:p>
    <w:p w14:paraId="3794B73A" w14:textId="4A5B894C" w:rsidR="007C4EF5" w:rsidRPr="00617370" w:rsidRDefault="0057716E" w:rsidP="00BB57AD">
      <w:pPr>
        <w:pStyle w:val="References"/>
      </w:pPr>
      <w:r w:rsidRPr="00617370">
        <w:rPr>
          <w:lang w:val="en-US"/>
        </w:rPr>
        <w:t>Cardak, B &amp; Ryan, C 2009, ‘</w:t>
      </w:r>
      <w:r w:rsidR="007C4EF5" w:rsidRPr="00617370">
        <w:rPr>
          <w:lang w:val="en-US"/>
        </w:rPr>
        <w:t xml:space="preserve">Participation in </w:t>
      </w:r>
      <w:r w:rsidR="00452230" w:rsidRPr="00617370">
        <w:rPr>
          <w:lang w:val="en-US"/>
        </w:rPr>
        <w:t>h</w:t>
      </w:r>
      <w:r w:rsidR="007C4EF5" w:rsidRPr="00617370">
        <w:rPr>
          <w:lang w:val="en-US"/>
        </w:rPr>
        <w:t xml:space="preserve">igher </w:t>
      </w:r>
      <w:r w:rsidR="00452230" w:rsidRPr="00617370">
        <w:rPr>
          <w:lang w:val="en-US"/>
        </w:rPr>
        <w:t>e</w:t>
      </w:r>
      <w:r w:rsidR="007C4EF5" w:rsidRPr="00617370">
        <w:rPr>
          <w:lang w:val="en-US"/>
        </w:rPr>
        <w:t xml:space="preserve">ducation in Australia: </w:t>
      </w:r>
      <w:r w:rsidR="00452230" w:rsidRPr="00617370">
        <w:rPr>
          <w:lang w:val="en-US"/>
        </w:rPr>
        <w:t>e</w:t>
      </w:r>
      <w:r w:rsidR="007C4EF5" w:rsidRPr="00617370">
        <w:rPr>
          <w:lang w:val="en-US"/>
        </w:rPr>
        <w:t xml:space="preserve">quity and </w:t>
      </w:r>
      <w:r w:rsidR="00452230" w:rsidRPr="00617370">
        <w:rPr>
          <w:lang w:val="en-US"/>
        </w:rPr>
        <w:t>a</w:t>
      </w:r>
      <w:r w:rsidR="007C4EF5" w:rsidRPr="00617370">
        <w:rPr>
          <w:lang w:val="en-US"/>
        </w:rPr>
        <w:t>ccess</w:t>
      </w:r>
      <w:hyperlink r:id="rId54" w:anchor="fn1" w:history="1">
        <w:r w:rsidRPr="00617370">
          <w:rPr>
            <w:rStyle w:val="Hyperlink"/>
            <w:sz w:val="18"/>
            <w:szCs w:val="18"/>
            <w:vertAlign w:val="superscript"/>
            <w:lang w:val="en-US"/>
          </w:rPr>
          <w:t>’</w:t>
        </w:r>
      </w:hyperlink>
      <w:r w:rsidR="007341C3" w:rsidRPr="00617370">
        <w:t>,</w:t>
      </w:r>
      <w:r w:rsidR="00452230" w:rsidRPr="00617370">
        <w:t xml:space="preserve"> </w:t>
      </w:r>
      <w:r w:rsidR="00452230" w:rsidRPr="00617370">
        <w:rPr>
          <w:iCs/>
        </w:rPr>
        <w:t>Economic Record</w:t>
      </w:r>
      <w:r w:rsidR="00452230" w:rsidRPr="00617370">
        <w:t>,</w:t>
      </w:r>
      <w:r w:rsidR="00937417" w:rsidRPr="00617370">
        <w:t xml:space="preserve"> </w:t>
      </w:r>
      <w:r w:rsidR="00937417" w:rsidRPr="00617370">
        <w:rPr>
          <w:lang w:val="en-US"/>
        </w:rPr>
        <w:t>vol.</w:t>
      </w:r>
      <w:r w:rsidR="00DA29CC" w:rsidRPr="00617370">
        <w:rPr>
          <w:lang w:val="en-US"/>
        </w:rPr>
        <w:t>85</w:t>
      </w:r>
      <w:r w:rsidR="00937417" w:rsidRPr="00617370">
        <w:rPr>
          <w:lang w:val="en-US"/>
        </w:rPr>
        <w:t>, no.</w:t>
      </w:r>
      <w:r w:rsidR="00DA29CC" w:rsidRPr="00617370">
        <w:rPr>
          <w:lang w:val="en-US"/>
        </w:rPr>
        <w:t>271</w:t>
      </w:r>
      <w:r w:rsidR="00937417" w:rsidRPr="00617370">
        <w:rPr>
          <w:lang w:val="en-US"/>
        </w:rPr>
        <w:t>, pp.43</w:t>
      </w:r>
      <w:r w:rsidR="00DA29CC" w:rsidRPr="00617370">
        <w:rPr>
          <w:lang w:val="en-US"/>
        </w:rPr>
        <w:t>3</w:t>
      </w:r>
      <w:r w:rsidR="00B3244D" w:rsidRPr="00617370">
        <w:t>—</w:t>
      </w:r>
      <w:r w:rsidR="00DA29CC" w:rsidRPr="00617370">
        <w:rPr>
          <w:lang w:val="en-US"/>
        </w:rPr>
        <w:t>48</w:t>
      </w:r>
      <w:r w:rsidR="00B3244D" w:rsidRPr="00617370">
        <w:rPr>
          <w:lang w:val="en-US"/>
        </w:rPr>
        <w:t>.</w:t>
      </w:r>
      <w:r w:rsidR="00452230" w:rsidRPr="00617370">
        <w:t xml:space="preserve"> </w:t>
      </w:r>
    </w:p>
    <w:p w14:paraId="636995B1" w14:textId="08F2DDC7" w:rsidR="00B51871" w:rsidRPr="00617370" w:rsidRDefault="00B51871" w:rsidP="00BB57AD">
      <w:pPr>
        <w:pStyle w:val="References"/>
      </w:pPr>
      <w:r w:rsidRPr="00617370">
        <w:t>——2007, ‘Participation in higher education: equity and access are equity-based scholarships an answer?’, La Trobe University School of Economics working paper no.3, Melbourne.</w:t>
      </w:r>
    </w:p>
    <w:p w14:paraId="13F7C14C" w14:textId="157F5247" w:rsidR="00A06D26" w:rsidRPr="00617370" w:rsidRDefault="00B3244D" w:rsidP="00BB57AD">
      <w:pPr>
        <w:pStyle w:val="References"/>
        <w:rPr>
          <w:shd w:val="clear" w:color="auto" w:fill="FFFFFF"/>
        </w:rPr>
      </w:pPr>
      <w:r w:rsidRPr="00617370">
        <w:rPr>
          <w:lang w:val="en-US"/>
        </w:rPr>
        <w:t>——</w:t>
      </w:r>
      <w:r w:rsidR="002563E7" w:rsidRPr="00617370">
        <w:rPr>
          <w:lang w:val="en-US"/>
        </w:rPr>
        <w:t>2006</w:t>
      </w:r>
      <w:r w:rsidR="007A2911" w:rsidRPr="00617370">
        <w:rPr>
          <w:lang w:val="en-US"/>
        </w:rPr>
        <w:t>,</w:t>
      </w:r>
      <w:r w:rsidR="002563E7" w:rsidRPr="00617370">
        <w:rPr>
          <w:lang w:val="en-US"/>
        </w:rPr>
        <w:t xml:space="preserve"> </w:t>
      </w:r>
      <w:r w:rsidR="007A2911" w:rsidRPr="00617370">
        <w:rPr>
          <w:lang w:val="en-US"/>
        </w:rPr>
        <w:t>‘</w:t>
      </w:r>
      <w:r w:rsidR="002563E7" w:rsidRPr="00617370">
        <w:rPr>
          <w:lang w:val="en-US"/>
        </w:rPr>
        <w:t>Why are high‐ability individuals from poor backgrounds underrepresented</w:t>
      </w:r>
      <w:r w:rsidR="00B37926" w:rsidRPr="00617370">
        <w:rPr>
          <w:lang w:val="en-US"/>
        </w:rPr>
        <w:t xml:space="preserve"> </w:t>
      </w:r>
      <w:r w:rsidR="002563E7" w:rsidRPr="00617370">
        <w:rPr>
          <w:lang w:val="en-US"/>
        </w:rPr>
        <w:t xml:space="preserve">at university? </w:t>
      </w:r>
      <w:r w:rsidR="00A06D26" w:rsidRPr="00617370">
        <w:t>La</w:t>
      </w:r>
      <w:r w:rsidR="00267B00" w:rsidRPr="00617370">
        <w:t xml:space="preserve"> </w:t>
      </w:r>
      <w:r w:rsidR="00A06D26" w:rsidRPr="00617370">
        <w:t xml:space="preserve">Trobe University School of Economics </w:t>
      </w:r>
      <w:r w:rsidR="00F45E2B" w:rsidRPr="00617370">
        <w:t>w</w:t>
      </w:r>
      <w:r w:rsidR="00A06D26" w:rsidRPr="00617370">
        <w:t xml:space="preserve">orking </w:t>
      </w:r>
      <w:r w:rsidR="00F45E2B" w:rsidRPr="00617370">
        <w:t>p</w:t>
      </w:r>
      <w:r w:rsidR="00A06D26" w:rsidRPr="00617370">
        <w:t xml:space="preserve">aper </w:t>
      </w:r>
      <w:r w:rsidR="00F45E2B" w:rsidRPr="00617370">
        <w:t>no.</w:t>
      </w:r>
      <w:r w:rsidR="006A7E3E" w:rsidRPr="00617370">
        <w:t>4</w:t>
      </w:r>
      <w:r w:rsidR="00267B00" w:rsidRPr="00617370">
        <w:t>, Melbourne</w:t>
      </w:r>
      <w:r w:rsidR="00A06D26" w:rsidRPr="00617370">
        <w:t>.</w:t>
      </w:r>
    </w:p>
    <w:p w14:paraId="4ADC87F3" w14:textId="77777777" w:rsidR="00D96EAB" w:rsidRPr="00617370" w:rsidRDefault="00D96EAB" w:rsidP="00BB57AD">
      <w:pPr>
        <w:pStyle w:val="References"/>
        <w:rPr>
          <w:shd w:val="clear" w:color="auto" w:fill="FFFFFF"/>
        </w:rPr>
      </w:pPr>
      <w:r w:rsidRPr="00617370">
        <w:t xml:space="preserve">Cardak, B &amp; Vecci, J 2013, </w:t>
      </w:r>
      <w:r w:rsidRPr="00617370">
        <w:rPr>
          <w:i/>
          <w:iCs/>
        </w:rPr>
        <w:t>Catholic school effectiveness in Australia: a reassessment using selection on observed and unobserved variables</w:t>
      </w:r>
      <w:r w:rsidRPr="00617370">
        <w:t>, La Trobe University School of Economics working paper no.5, Melbourne.</w:t>
      </w:r>
    </w:p>
    <w:p w14:paraId="6409D0B6" w14:textId="6A672866" w:rsidR="00423F85" w:rsidRPr="00617370" w:rsidRDefault="00423F85" w:rsidP="00BB57AD">
      <w:pPr>
        <w:pStyle w:val="References"/>
        <w:rPr>
          <w:shd w:val="clear" w:color="auto" w:fill="FFFFFF"/>
        </w:rPr>
      </w:pPr>
      <w:r w:rsidRPr="00617370">
        <w:rPr>
          <w:lang w:val="en-US"/>
        </w:rPr>
        <w:t xml:space="preserve">Carr, D, Good, L, De Silva, L, Donovan, J &amp; Mancenido, Z 2023, </w:t>
      </w:r>
      <w:r w:rsidRPr="00617370">
        <w:rPr>
          <w:i/>
        </w:rPr>
        <w:t>Benchmarking performance: future directions for Australia’s National Assessment Program</w:t>
      </w:r>
      <w:r w:rsidRPr="00617370">
        <w:t>, Australian Education Research Organisation</w:t>
      </w:r>
      <w:r w:rsidR="002B47D0" w:rsidRPr="00617370">
        <w:t>, Sydney.</w:t>
      </w:r>
    </w:p>
    <w:p w14:paraId="3A3E29E0" w14:textId="052637CD" w:rsidR="00AE4590" w:rsidRPr="00617370" w:rsidRDefault="00AE4590" w:rsidP="00BB57AD">
      <w:pPr>
        <w:pStyle w:val="References"/>
        <w:rPr>
          <w:rFonts w:cs="NimbusSanL-Regu"/>
        </w:rPr>
      </w:pPr>
      <w:r w:rsidRPr="00617370">
        <w:t xml:space="preserve">Chew, E, Parvazian, S &amp; Semo, R 2023, </w:t>
      </w:r>
      <w:r w:rsidRPr="00617370">
        <w:rPr>
          <w:i/>
          <w:iCs/>
        </w:rPr>
        <w:t>Understanding and using the linked LSAY-NAPLAN data: issues and considerations</w:t>
      </w:r>
      <w:r w:rsidRPr="00617370">
        <w:t>, NCVER, Adelaide.</w:t>
      </w:r>
    </w:p>
    <w:p w14:paraId="52645ED7" w14:textId="4DA51C56" w:rsidR="00511649" w:rsidRPr="00617370" w:rsidRDefault="00511649" w:rsidP="00BB57AD">
      <w:pPr>
        <w:pStyle w:val="References"/>
        <w:rPr>
          <w:rFonts w:cs="NimbusSanL-Regu"/>
        </w:rPr>
      </w:pPr>
      <w:r w:rsidRPr="00617370">
        <w:rPr>
          <w:rFonts w:cs="NimbusSanL-Regu"/>
        </w:rPr>
        <w:t>Cherastidtham, I, Norton, A &amp; Mackey, W 2018</w:t>
      </w:r>
      <w:r w:rsidR="00477A91" w:rsidRPr="00617370">
        <w:rPr>
          <w:rFonts w:cs="NimbusSanL-Regu"/>
        </w:rPr>
        <w:t xml:space="preserve">, </w:t>
      </w:r>
      <w:r w:rsidRPr="00617370">
        <w:rPr>
          <w:rFonts w:cs="NimbusSanL-ReguItal"/>
          <w:i/>
        </w:rPr>
        <w:t xml:space="preserve">University attrition: what helps and what hinders university </w:t>
      </w:r>
      <w:r w:rsidRPr="00617370">
        <w:rPr>
          <w:i/>
        </w:rPr>
        <w:t>completion</w:t>
      </w:r>
      <w:r w:rsidRPr="00617370">
        <w:rPr>
          <w:rFonts w:cs="NimbusSanL-ReguItal"/>
          <w:i/>
        </w:rPr>
        <w:t>?</w:t>
      </w:r>
      <w:r w:rsidR="00477A91" w:rsidRPr="00617370">
        <w:rPr>
          <w:rFonts w:cs="NimbusSanL-Regu"/>
        </w:rPr>
        <w:t xml:space="preserve">, </w:t>
      </w:r>
      <w:r w:rsidRPr="00617370">
        <w:rPr>
          <w:rFonts w:cs="NimbusSanL-Regu"/>
        </w:rPr>
        <w:t>Grattan Institute</w:t>
      </w:r>
      <w:r w:rsidR="009632E4" w:rsidRPr="00617370">
        <w:rPr>
          <w:rFonts w:cs="NimbusSanL-Regu"/>
        </w:rPr>
        <w:t>, Melbourne.</w:t>
      </w:r>
    </w:p>
    <w:p w14:paraId="489B9666" w14:textId="4CB3B55A" w:rsidR="00461D04" w:rsidRPr="00617370" w:rsidRDefault="00461D04" w:rsidP="00BB57AD">
      <w:pPr>
        <w:pStyle w:val="References"/>
      </w:pPr>
      <w:r w:rsidRPr="00617370">
        <w:t>Chesters, J 2019, </w:t>
      </w:r>
      <w:r w:rsidR="00C63A45" w:rsidRPr="00617370">
        <w:t>‘</w:t>
      </w:r>
      <w:hyperlink r:id="rId55" w:tgtFrame="_blank" w:history="1">
        <w:r w:rsidRPr="00617370">
          <w:rPr>
            <w:rStyle w:val="Hyperlink"/>
            <w:sz w:val="18"/>
            <w:szCs w:val="18"/>
          </w:rPr>
          <w:t>Alleviating or exacerbating disadvantage: does school attended mediate the association between family background and educational attainment?</w:t>
        </w:r>
        <w:r w:rsidR="00C63A45" w:rsidRPr="00617370">
          <w:rPr>
            <w:rStyle w:val="Hyperlink"/>
            <w:sz w:val="18"/>
            <w:szCs w:val="18"/>
          </w:rPr>
          <w:t>’</w:t>
        </w:r>
        <w:r w:rsidRPr="00617370">
          <w:rPr>
            <w:rStyle w:val="Hyperlink"/>
            <w:b/>
            <w:bCs/>
            <w:sz w:val="18"/>
            <w:szCs w:val="18"/>
          </w:rPr>
          <w:t>,</w:t>
        </w:r>
      </w:hyperlink>
      <w:r w:rsidRPr="00617370">
        <w:t> </w:t>
      </w:r>
      <w:r w:rsidRPr="00617370">
        <w:rPr>
          <w:iCs/>
        </w:rPr>
        <w:t xml:space="preserve">Journal of </w:t>
      </w:r>
      <w:r w:rsidR="00EC0738" w:rsidRPr="00617370">
        <w:rPr>
          <w:iCs/>
        </w:rPr>
        <w:t>Education Policy</w:t>
      </w:r>
      <w:r w:rsidRPr="00617370">
        <w:t>, vol.34, no.3, pp.331</w:t>
      </w:r>
      <w:r w:rsidR="00EC0738" w:rsidRPr="00617370">
        <w:t>—</w:t>
      </w:r>
      <w:r w:rsidRPr="00617370">
        <w:t>50.</w:t>
      </w:r>
    </w:p>
    <w:p w14:paraId="31CB4E4E" w14:textId="32D0012E" w:rsidR="00747A82" w:rsidRPr="00617370" w:rsidRDefault="00AE53DB" w:rsidP="00BB57AD">
      <w:pPr>
        <w:pStyle w:val="References"/>
      </w:pPr>
      <w:r w:rsidRPr="00617370">
        <w:rPr>
          <w:lang w:val="en-US"/>
        </w:rPr>
        <w:t>Chesters</w:t>
      </w:r>
      <w:r w:rsidR="00294734" w:rsidRPr="00617370">
        <w:rPr>
          <w:lang w:val="en-US"/>
        </w:rPr>
        <w:t>, J</w:t>
      </w:r>
      <w:r w:rsidR="00150C7E" w:rsidRPr="00617370">
        <w:rPr>
          <w:lang w:val="en-US"/>
        </w:rPr>
        <w:t xml:space="preserve"> &amp;</w:t>
      </w:r>
      <w:r w:rsidR="00294734" w:rsidRPr="00617370">
        <w:rPr>
          <w:lang w:val="en-US"/>
        </w:rPr>
        <w:t xml:space="preserve"> </w:t>
      </w:r>
      <w:r w:rsidRPr="00617370">
        <w:rPr>
          <w:lang w:val="en-US"/>
        </w:rPr>
        <w:t>Cuervo</w:t>
      </w:r>
      <w:r w:rsidR="00294734" w:rsidRPr="00617370">
        <w:rPr>
          <w:lang w:val="en-US"/>
        </w:rPr>
        <w:t>, H 202</w:t>
      </w:r>
      <w:r w:rsidR="00056EF9" w:rsidRPr="00617370">
        <w:rPr>
          <w:lang w:val="en-US"/>
        </w:rPr>
        <w:t>2</w:t>
      </w:r>
      <w:r w:rsidR="00294734" w:rsidRPr="00617370">
        <w:rPr>
          <w:lang w:val="en-US"/>
        </w:rPr>
        <w:t>, ‘</w:t>
      </w:r>
      <w:r w:rsidRPr="00617370">
        <w:rPr>
          <w:lang w:val="en-US"/>
        </w:rPr>
        <w:t>(In)equality of opportunity: educational attainments</w:t>
      </w:r>
      <w:r w:rsidR="006731CC" w:rsidRPr="00617370">
        <w:rPr>
          <w:lang w:val="en-US"/>
        </w:rPr>
        <w:t xml:space="preserve"> of young people from rural, regional and urban Australia</w:t>
      </w:r>
      <w:r w:rsidR="00294734" w:rsidRPr="00617370">
        <w:rPr>
          <w:lang w:val="en-US"/>
        </w:rPr>
        <w:t xml:space="preserve">’, </w:t>
      </w:r>
      <w:r w:rsidR="00D80876" w:rsidRPr="00617370">
        <w:rPr>
          <w:lang w:val="en-US"/>
        </w:rPr>
        <w:t>The Australian Educational Researcher</w:t>
      </w:r>
      <w:r w:rsidR="00266C39" w:rsidRPr="00617370">
        <w:rPr>
          <w:lang w:val="en-US"/>
        </w:rPr>
        <w:t>,</w:t>
      </w:r>
      <w:r w:rsidR="00D80876" w:rsidRPr="00617370">
        <w:rPr>
          <w:lang w:val="en-US"/>
        </w:rPr>
        <w:t xml:space="preserve"> vol.49, </w:t>
      </w:r>
      <w:r w:rsidR="007E16C6" w:rsidRPr="00617370">
        <w:rPr>
          <w:lang w:val="en-US"/>
        </w:rPr>
        <w:t xml:space="preserve">no.1, </w:t>
      </w:r>
      <w:r w:rsidR="00D80876" w:rsidRPr="00617370">
        <w:rPr>
          <w:lang w:val="en-US"/>
        </w:rPr>
        <w:t>pp.43</w:t>
      </w:r>
      <w:r w:rsidR="00EC0738" w:rsidRPr="00617370">
        <w:rPr>
          <w:lang w:val="en-US"/>
        </w:rPr>
        <w:t>—</w:t>
      </w:r>
      <w:r w:rsidR="00D80876" w:rsidRPr="00617370">
        <w:rPr>
          <w:lang w:val="en-US"/>
        </w:rPr>
        <w:t>61</w:t>
      </w:r>
      <w:r w:rsidR="00EC0738" w:rsidRPr="00617370">
        <w:rPr>
          <w:lang w:val="en-US"/>
        </w:rPr>
        <w:t>.</w:t>
      </w:r>
    </w:p>
    <w:p w14:paraId="0D9CF5FA" w14:textId="2462126C" w:rsidR="00AE4590" w:rsidRPr="00617370" w:rsidRDefault="00AE4590" w:rsidP="00BB57AD">
      <w:pPr>
        <w:pStyle w:val="References"/>
      </w:pPr>
      <w:r w:rsidRPr="00617370">
        <w:t>Chowdry, H, Crawford, C, Dearden, L, Goodman, A &amp; Vignoles, A 2012, ‘Widening participation in higher education: analysis using linked administrative data’, Journal of the Royal Statistical Society: Series A (Statistics in Society), vol.176, no.2, pp.431</w:t>
      </w:r>
      <w:r w:rsidR="009029A8" w:rsidRPr="00617370">
        <w:t>—</w:t>
      </w:r>
      <w:r w:rsidRPr="00617370">
        <w:t>57.</w:t>
      </w:r>
    </w:p>
    <w:p w14:paraId="3A0B0D61" w14:textId="52DEF65C" w:rsidR="007A2911" w:rsidRPr="00617370" w:rsidRDefault="009F6978" w:rsidP="00BB57AD">
      <w:pPr>
        <w:pStyle w:val="References"/>
      </w:pPr>
      <w:r w:rsidRPr="00617370">
        <w:t>Curtis, D</w:t>
      </w:r>
      <w:r w:rsidR="00EC0738" w:rsidRPr="00617370">
        <w:t xml:space="preserve"> &amp;</w:t>
      </w:r>
      <w:r w:rsidRPr="00617370">
        <w:t xml:space="preserve"> McMillan, J 2008, </w:t>
      </w:r>
      <w:r w:rsidRPr="00617370">
        <w:rPr>
          <w:i/>
          <w:iCs/>
        </w:rPr>
        <w:t>School non-completers: profiles and initial destinations</w:t>
      </w:r>
      <w:r w:rsidRPr="00617370">
        <w:t>, LSAY research report, no. 54, Australian Council for Educational Research, Camberwell</w:t>
      </w:r>
      <w:r w:rsidR="00EC0738" w:rsidRPr="00617370">
        <w:t>, Vic</w:t>
      </w:r>
      <w:r w:rsidRPr="00617370">
        <w:t>.</w:t>
      </w:r>
    </w:p>
    <w:p w14:paraId="59952D18" w14:textId="001ED1B0" w:rsidR="00AE4590" w:rsidRPr="00617370" w:rsidRDefault="65DE1664" w:rsidP="00BB57AD">
      <w:pPr>
        <w:pStyle w:val="References"/>
      </w:pPr>
      <w:r w:rsidRPr="00617370">
        <w:t xml:space="preserve">Dean, J, Roberts, P, Downes, N &amp; Goldsmith, A 2023, ‘The spatial implications of academic achievement in </w:t>
      </w:r>
      <w:r w:rsidR="000B203A" w:rsidRPr="00617370">
        <w:t>Y</w:t>
      </w:r>
      <w:r w:rsidRPr="00617370">
        <w:t xml:space="preserve">ear 12: </w:t>
      </w:r>
      <w:r w:rsidR="001A7472" w:rsidRPr="00617370">
        <w:t>r</w:t>
      </w:r>
      <w:r w:rsidRPr="00617370">
        <w:t>ethinking discourses of disadvantage in rural locations’, Australian Journal of Education, vol.67, no.1, pp.94</w:t>
      </w:r>
      <w:r w:rsidR="000B203A" w:rsidRPr="00617370">
        <w:t>—</w:t>
      </w:r>
      <w:r w:rsidRPr="00617370">
        <w:t>114.</w:t>
      </w:r>
    </w:p>
    <w:p w14:paraId="3307BF01" w14:textId="7AD24D2D" w:rsidR="6486E9A0" w:rsidRPr="00617370" w:rsidRDefault="6486E9A0" w:rsidP="00BB57AD">
      <w:pPr>
        <w:pStyle w:val="References"/>
      </w:pPr>
      <w:r w:rsidRPr="00617370">
        <w:t>Ene, M, Leighton, E</w:t>
      </w:r>
      <w:r w:rsidR="00274D44" w:rsidRPr="00617370">
        <w:t>,</w:t>
      </w:r>
      <w:r w:rsidR="453088FD" w:rsidRPr="00617370">
        <w:t xml:space="preserve"> Blue, G</w:t>
      </w:r>
      <w:r w:rsidR="00274D44" w:rsidRPr="00617370">
        <w:t>,</w:t>
      </w:r>
      <w:r w:rsidR="453088FD" w:rsidRPr="00617370">
        <w:t xml:space="preserve"> Bell, B 2015, ‘Multilevel </w:t>
      </w:r>
      <w:r w:rsidR="00BB0EFB" w:rsidRPr="00617370">
        <w:t xml:space="preserve">models for categorical data using </w:t>
      </w:r>
      <w:r w:rsidR="453088FD" w:rsidRPr="00617370">
        <w:t xml:space="preserve">SAS PROC GLIMMIX: </w:t>
      </w:r>
      <w:r w:rsidR="00BB0EFB" w:rsidRPr="00617370">
        <w:t>the basics’</w:t>
      </w:r>
      <w:r w:rsidR="453088FD" w:rsidRPr="00617370">
        <w:t>,</w:t>
      </w:r>
      <w:r w:rsidR="2CF4540B" w:rsidRPr="00617370">
        <w:t xml:space="preserve"> </w:t>
      </w:r>
      <w:r w:rsidR="00652A85" w:rsidRPr="00617370">
        <w:t>in</w:t>
      </w:r>
      <w:r w:rsidR="00C216EC" w:rsidRPr="00617370">
        <w:t xml:space="preserve"> </w:t>
      </w:r>
      <w:r w:rsidR="2CF4540B" w:rsidRPr="00617370">
        <w:t>SAS Global Forum</w:t>
      </w:r>
      <w:r w:rsidR="00652A85" w:rsidRPr="00617370">
        <w:t>, Dallas, TX, 26—29 April</w:t>
      </w:r>
      <w:r w:rsidR="2CF4540B" w:rsidRPr="00617370">
        <w:t xml:space="preserve"> 2015</w:t>
      </w:r>
      <w:r w:rsidR="00274D44" w:rsidRPr="00617370">
        <w:t>,</w:t>
      </w:r>
      <w:r w:rsidR="00652A85" w:rsidRPr="00617370">
        <w:t xml:space="preserve"> Proceedings</w:t>
      </w:r>
      <w:r w:rsidR="2CF4540B" w:rsidRPr="00617370">
        <w:t>.</w:t>
      </w:r>
    </w:p>
    <w:p w14:paraId="40270FBE" w14:textId="49EB457B" w:rsidR="00647222" w:rsidRPr="00617370" w:rsidRDefault="00D56B91" w:rsidP="00BB57AD">
      <w:pPr>
        <w:pStyle w:val="References"/>
      </w:pPr>
      <w:r w:rsidRPr="00617370">
        <w:t xml:space="preserve">Fullarton, S, Walker, M, Ainley, J &amp; Hillman, K 2003, </w:t>
      </w:r>
      <w:r w:rsidRPr="00617370">
        <w:rPr>
          <w:i/>
        </w:rPr>
        <w:t>Patterns of participation in Year 12</w:t>
      </w:r>
      <w:r w:rsidRPr="00617370">
        <w:t>, LSAY research report, no.33, Australian Council for Educational Research, Camberwell</w:t>
      </w:r>
      <w:r w:rsidR="00274D44" w:rsidRPr="00617370">
        <w:t>, Vic</w:t>
      </w:r>
      <w:r w:rsidR="00E273AB" w:rsidRPr="00617370">
        <w:t>.</w:t>
      </w:r>
    </w:p>
    <w:p w14:paraId="5E2AF301" w14:textId="4FDF9D7B" w:rsidR="009C7974" w:rsidRPr="00617370" w:rsidRDefault="009C7974" w:rsidP="00BB57AD">
      <w:pPr>
        <w:pStyle w:val="References"/>
      </w:pPr>
      <w:r w:rsidRPr="00617370">
        <w:rPr>
          <w:lang w:val="en-US"/>
        </w:rPr>
        <w:t xml:space="preserve">Gemici, S, Lim, P &amp; Karmel, T 2013, </w:t>
      </w:r>
      <w:r w:rsidRPr="00617370">
        <w:rPr>
          <w:i/>
          <w:lang w:val="en-US"/>
        </w:rPr>
        <w:t>The impact of schools on young people’s transition to university</w:t>
      </w:r>
      <w:r w:rsidRPr="00617370">
        <w:rPr>
          <w:lang w:val="en-US"/>
        </w:rPr>
        <w:t>, NCVER, Adelaide.</w:t>
      </w:r>
    </w:p>
    <w:p w14:paraId="080E8127" w14:textId="70814F61" w:rsidR="00E273AB" w:rsidRPr="00617370" w:rsidRDefault="00FD398D" w:rsidP="00BB57AD">
      <w:pPr>
        <w:pStyle w:val="References"/>
        <w:rPr>
          <w:lang w:val="en-US"/>
        </w:rPr>
      </w:pPr>
      <w:r w:rsidRPr="00617370">
        <w:rPr>
          <w:lang w:val="en-US"/>
        </w:rPr>
        <w:t xml:space="preserve">Gemici, S, Bednarz, A, Karmel, T &amp; Lim, P 2014, </w:t>
      </w:r>
      <w:r w:rsidRPr="00617370">
        <w:rPr>
          <w:i/>
          <w:lang w:val="en-US"/>
        </w:rPr>
        <w:t>The factors affecting the educational and occupational aspirations of young Australians</w:t>
      </w:r>
      <w:r w:rsidRPr="00617370">
        <w:rPr>
          <w:lang w:val="en-US"/>
        </w:rPr>
        <w:t>, NCVER, Adelaide.</w:t>
      </w:r>
    </w:p>
    <w:p w14:paraId="2EB5F8F4" w14:textId="57AF5207" w:rsidR="00AE4590" w:rsidRPr="00617370" w:rsidRDefault="00AE4590" w:rsidP="00BB57AD">
      <w:pPr>
        <w:pStyle w:val="References"/>
      </w:pPr>
      <w:r w:rsidRPr="00617370">
        <w:t>Getenet, S &amp; Beswick, K 2021, ‘Predictors of children’s achievement: analysis of the Australian National Numeracy Assessment Program’, Educational Assessment, Evaluation and Accountability, vol.33, pp.591</w:t>
      </w:r>
      <w:r w:rsidR="00E1154F" w:rsidRPr="00617370">
        <w:t>—</w:t>
      </w:r>
      <w:r w:rsidRPr="00617370">
        <w:t>620.</w:t>
      </w:r>
    </w:p>
    <w:p w14:paraId="5B7F201E" w14:textId="1B47C4C8" w:rsidR="00AE4590" w:rsidRPr="00617370" w:rsidRDefault="00AE4590" w:rsidP="00BB57AD">
      <w:pPr>
        <w:pStyle w:val="References"/>
      </w:pPr>
      <w:r w:rsidRPr="00617370">
        <w:t>Goss, P</w:t>
      </w:r>
      <w:r w:rsidR="00A82F46" w:rsidRPr="00617370">
        <w:t xml:space="preserve">, </w:t>
      </w:r>
      <w:r w:rsidRPr="00617370">
        <w:t>Sonnemann, J</w:t>
      </w:r>
      <w:r w:rsidR="00A82F46" w:rsidRPr="00617370">
        <w:t>, Chisholm, C &amp; Nelson, L</w:t>
      </w:r>
      <w:r w:rsidR="00D61BC0" w:rsidRPr="00617370">
        <w:t xml:space="preserve">, 2016, </w:t>
      </w:r>
      <w:r w:rsidRPr="00617370">
        <w:rPr>
          <w:i/>
          <w:iCs/>
        </w:rPr>
        <w:t xml:space="preserve">Widening gaps: </w:t>
      </w:r>
      <w:r w:rsidR="00475C3E" w:rsidRPr="00617370">
        <w:rPr>
          <w:i/>
          <w:iCs/>
        </w:rPr>
        <w:t>w</w:t>
      </w:r>
      <w:r w:rsidRPr="00617370">
        <w:rPr>
          <w:i/>
          <w:iCs/>
        </w:rPr>
        <w:t>hat NAPLAN tells us about student progress</w:t>
      </w:r>
      <w:r w:rsidRPr="00617370">
        <w:t>, Grattan Institute</w:t>
      </w:r>
      <w:r w:rsidR="005F34DE" w:rsidRPr="00617370">
        <w:t>, Melbourne.</w:t>
      </w:r>
    </w:p>
    <w:p w14:paraId="57F002F4" w14:textId="113540C2" w:rsidR="001128BD" w:rsidRPr="00617370" w:rsidRDefault="001128BD" w:rsidP="00BB57AD">
      <w:pPr>
        <w:pStyle w:val="References"/>
      </w:pPr>
      <w:r w:rsidRPr="00617370">
        <w:t xml:space="preserve">Homel, J &amp; Ryan, C 2014, </w:t>
      </w:r>
      <w:r w:rsidRPr="00617370">
        <w:rPr>
          <w:i/>
        </w:rPr>
        <w:t>Educational outcomes: the impact of aspirations and the role of student background characteristics</w:t>
      </w:r>
      <w:r w:rsidRPr="00617370">
        <w:t>, LSAY research report, no.65, NCVER, Adelaide.</w:t>
      </w:r>
    </w:p>
    <w:p w14:paraId="37000660" w14:textId="3C9BF017" w:rsidR="00AE4590" w:rsidRPr="00617370" w:rsidRDefault="00AE4590" w:rsidP="00BB57AD">
      <w:pPr>
        <w:pStyle w:val="References"/>
      </w:pPr>
      <w:r w:rsidRPr="00617370">
        <w:t xml:space="preserve">Houng, B &amp; Justman, M 2014, </w:t>
      </w:r>
      <w:r w:rsidRPr="00617370">
        <w:rPr>
          <w:i/>
          <w:iCs/>
        </w:rPr>
        <w:t>NAPLAN scores as predictors of access to higher education in Victoria</w:t>
      </w:r>
      <w:r w:rsidRPr="00617370">
        <w:t xml:space="preserve">, Melbourne Institute Working Paper, </w:t>
      </w:r>
      <w:r w:rsidR="005F34DE" w:rsidRPr="00617370">
        <w:t>n</w:t>
      </w:r>
      <w:r w:rsidRPr="00617370">
        <w:t>o.22/14, Melbourne Institute.</w:t>
      </w:r>
    </w:p>
    <w:p w14:paraId="3641A77B" w14:textId="525DBC46" w:rsidR="00C8520F" w:rsidRPr="00617370" w:rsidRDefault="00F605EF" w:rsidP="00BB57AD">
      <w:pPr>
        <w:pStyle w:val="References"/>
      </w:pPr>
      <w:r w:rsidRPr="00617370">
        <w:t>——</w:t>
      </w:r>
      <w:r w:rsidR="00503091" w:rsidRPr="00617370">
        <w:t>201</w:t>
      </w:r>
      <w:r w:rsidR="00CC1B35" w:rsidRPr="00617370">
        <w:t>5</w:t>
      </w:r>
      <w:r w:rsidR="00503091" w:rsidRPr="00617370">
        <w:t xml:space="preserve">, </w:t>
      </w:r>
      <w:r w:rsidR="00C8520F" w:rsidRPr="00617370">
        <w:rPr>
          <w:iCs/>
        </w:rPr>
        <w:t>‘Using standardized tests to predict access to higher education and measure school value-added’</w:t>
      </w:r>
      <w:r w:rsidR="00C8520F" w:rsidRPr="00617370">
        <w:t>,</w:t>
      </w:r>
      <w:r w:rsidR="00C8520F" w:rsidRPr="00617370">
        <w:rPr>
          <w:iCs/>
        </w:rPr>
        <w:t xml:space="preserve"> paper presented at the 11th Annual Conference on Economic Growth and Development, New Delhi</w:t>
      </w:r>
      <w:r w:rsidR="00742FB4" w:rsidRPr="00617370">
        <w:rPr>
          <w:iCs/>
        </w:rPr>
        <w:t>.</w:t>
      </w:r>
      <w:r w:rsidR="00C8520F" w:rsidRPr="00617370">
        <w:rPr>
          <w:iCs/>
        </w:rPr>
        <w:t xml:space="preserve"> </w:t>
      </w:r>
    </w:p>
    <w:p w14:paraId="314BE6C1" w14:textId="5A29F28A" w:rsidR="00F502C5" w:rsidRPr="00617370" w:rsidRDefault="00F502C5" w:rsidP="00BB57AD">
      <w:pPr>
        <w:pStyle w:val="References"/>
      </w:pPr>
      <w:r w:rsidRPr="00617370">
        <w:t xml:space="preserve">Jerrim, J &amp; Vignoles, A 2015, ‘University access for disadvantaged children: a comparison across countries’, </w:t>
      </w:r>
      <w:r w:rsidRPr="00617370">
        <w:rPr>
          <w:iCs/>
        </w:rPr>
        <w:t>Higher Education</w:t>
      </w:r>
      <w:r w:rsidRPr="00617370">
        <w:t>, vol.70, pp.903—21.</w:t>
      </w:r>
    </w:p>
    <w:p w14:paraId="2BC652AD" w14:textId="1D2BB859" w:rsidR="0041192B" w:rsidRPr="00617370" w:rsidRDefault="0041192B" w:rsidP="00BB57AD">
      <w:pPr>
        <w:pStyle w:val="References"/>
      </w:pPr>
      <w:r w:rsidRPr="00617370">
        <w:t>Karmel, T</w:t>
      </w:r>
      <w:r w:rsidR="004D46EF" w:rsidRPr="00617370">
        <w:t xml:space="preserve"> &amp;</w:t>
      </w:r>
      <w:r w:rsidRPr="00617370">
        <w:t xml:space="preserve"> Lui, S 2011, </w:t>
      </w:r>
      <w:r w:rsidRPr="00617370">
        <w:rPr>
          <w:i/>
        </w:rPr>
        <w:t>Which paths work for which young people?</w:t>
      </w:r>
      <w:r w:rsidRPr="00617370">
        <w:t xml:space="preserve">, LSAY research report, no.57, NCVER, Adelaide. </w:t>
      </w:r>
    </w:p>
    <w:p w14:paraId="4842E72C" w14:textId="04174CB6" w:rsidR="0001402A" w:rsidRPr="00617370" w:rsidRDefault="007C0FA6" w:rsidP="00BB57AD">
      <w:pPr>
        <w:pStyle w:val="References"/>
      </w:pPr>
      <w:r w:rsidRPr="00617370">
        <w:t>Khoo, S</w:t>
      </w:r>
      <w:r w:rsidR="00956FBA" w:rsidRPr="00617370">
        <w:t xml:space="preserve"> &amp;</w:t>
      </w:r>
      <w:r w:rsidRPr="00617370">
        <w:t xml:space="preserve"> Ainley, J 2005, </w:t>
      </w:r>
      <w:r w:rsidRPr="00617370">
        <w:rPr>
          <w:i/>
        </w:rPr>
        <w:t>Attitudes, intentions and participation</w:t>
      </w:r>
      <w:r w:rsidRPr="00617370">
        <w:t>, LSAY research report, no.41, Australian Council for Educational Research, Camberwell</w:t>
      </w:r>
      <w:r w:rsidR="00956FBA" w:rsidRPr="00617370">
        <w:t>, Vic.</w:t>
      </w:r>
    </w:p>
    <w:p w14:paraId="170164CC" w14:textId="523112B2" w:rsidR="00AE4590" w:rsidRPr="00617370" w:rsidRDefault="00AE4590" w:rsidP="00BB57AD">
      <w:pPr>
        <w:pStyle w:val="References"/>
      </w:pPr>
      <w:r w:rsidRPr="00617370">
        <w:t xml:space="preserve">Lamb, S 1997, </w:t>
      </w:r>
      <w:r w:rsidRPr="00617370">
        <w:rPr>
          <w:i/>
          <w:iCs/>
        </w:rPr>
        <w:t>School achievement and initial education and labour market outcomes</w:t>
      </w:r>
      <w:r w:rsidRPr="00617370">
        <w:t xml:space="preserve">, </w:t>
      </w:r>
      <w:r w:rsidR="00B60393" w:rsidRPr="00617370">
        <w:t>LSAY research report no.4</w:t>
      </w:r>
      <w:r w:rsidR="004919C0" w:rsidRPr="00617370">
        <w:t xml:space="preserve">, </w:t>
      </w:r>
      <w:r w:rsidRPr="00617370">
        <w:t>Australian Council for Education Research</w:t>
      </w:r>
      <w:r w:rsidR="004919C0" w:rsidRPr="00617370">
        <w:t>, Hawthorn</w:t>
      </w:r>
      <w:r w:rsidR="00956FBA" w:rsidRPr="00617370">
        <w:t>, Vic.</w:t>
      </w:r>
    </w:p>
    <w:p w14:paraId="73B544EC" w14:textId="7698F5D4" w:rsidR="00D93F5B" w:rsidRPr="00617370" w:rsidRDefault="00D93F5B" w:rsidP="00BB57AD">
      <w:pPr>
        <w:pStyle w:val="References"/>
      </w:pPr>
      <w:r w:rsidRPr="00617370">
        <w:lastRenderedPageBreak/>
        <w:t>Le, A</w:t>
      </w:r>
      <w:r w:rsidR="00370352" w:rsidRPr="00617370">
        <w:t xml:space="preserve"> &amp;</w:t>
      </w:r>
      <w:r w:rsidRPr="00617370">
        <w:t xml:space="preserve"> Miller, P 200</w:t>
      </w:r>
      <w:r w:rsidR="005962B8" w:rsidRPr="00617370">
        <w:t>2</w:t>
      </w:r>
      <w:r w:rsidRPr="00617370">
        <w:t xml:space="preserve">, </w:t>
      </w:r>
      <w:r w:rsidRPr="00617370">
        <w:rPr>
          <w:i/>
        </w:rPr>
        <w:t>Educational attainment in Australia: a cohort analysis</w:t>
      </w:r>
      <w:r w:rsidRPr="00617370">
        <w:t>, LSAY research report no. 25, Australian Council for Educational Research, Camberwell</w:t>
      </w:r>
      <w:r w:rsidR="00956FBA" w:rsidRPr="00617370">
        <w:t>, Vic</w:t>
      </w:r>
      <w:r w:rsidRPr="00617370">
        <w:t>.</w:t>
      </w:r>
    </w:p>
    <w:p w14:paraId="50A537A2" w14:textId="2DEF1ABE" w:rsidR="00AB1152" w:rsidRPr="00617370" w:rsidRDefault="00EE7E86" w:rsidP="00BB57AD">
      <w:pPr>
        <w:pStyle w:val="References"/>
        <w:rPr>
          <w:spacing w:val="-4"/>
        </w:rPr>
      </w:pPr>
      <w:r w:rsidRPr="00617370">
        <w:rPr>
          <w:spacing w:val="-4"/>
        </w:rPr>
        <w:t>——</w:t>
      </w:r>
      <w:r w:rsidR="00B9548F" w:rsidRPr="00617370">
        <w:rPr>
          <w:spacing w:val="-4"/>
        </w:rPr>
        <w:t>20</w:t>
      </w:r>
      <w:r w:rsidR="008B2079" w:rsidRPr="00617370">
        <w:rPr>
          <w:spacing w:val="-4"/>
        </w:rPr>
        <w:t>05</w:t>
      </w:r>
      <w:r w:rsidR="00F02420" w:rsidRPr="00617370">
        <w:rPr>
          <w:spacing w:val="-4"/>
        </w:rPr>
        <w:t xml:space="preserve">, </w:t>
      </w:r>
      <w:r w:rsidR="004904DD" w:rsidRPr="00617370">
        <w:rPr>
          <w:spacing w:val="-4"/>
        </w:rPr>
        <w:t>‘</w:t>
      </w:r>
      <w:r w:rsidR="00FA6D57" w:rsidRPr="00617370">
        <w:rPr>
          <w:spacing w:val="-4"/>
        </w:rPr>
        <w:t>Participation in higher education in Australia: equity and access</w:t>
      </w:r>
      <w:r w:rsidR="004904DD" w:rsidRPr="00617370">
        <w:rPr>
          <w:spacing w:val="-4"/>
        </w:rPr>
        <w:t>’</w:t>
      </w:r>
      <w:r w:rsidR="00FA6D57" w:rsidRPr="00617370">
        <w:rPr>
          <w:spacing w:val="-4"/>
        </w:rPr>
        <w:t xml:space="preserve">, </w:t>
      </w:r>
      <w:r w:rsidR="00C66299" w:rsidRPr="00617370">
        <w:rPr>
          <w:iCs/>
          <w:spacing w:val="-4"/>
        </w:rPr>
        <w:t>Economic</w:t>
      </w:r>
      <w:r w:rsidR="00362D6A" w:rsidRPr="00617370">
        <w:rPr>
          <w:iCs/>
          <w:spacing w:val="-4"/>
        </w:rPr>
        <w:t xml:space="preserve"> Record</w:t>
      </w:r>
      <w:r w:rsidR="00362D6A" w:rsidRPr="00617370">
        <w:rPr>
          <w:spacing w:val="-4"/>
        </w:rPr>
        <w:t xml:space="preserve">, </w:t>
      </w:r>
      <w:r w:rsidR="004904DD" w:rsidRPr="00617370">
        <w:rPr>
          <w:spacing w:val="-4"/>
        </w:rPr>
        <w:t>vol.</w:t>
      </w:r>
      <w:r w:rsidR="00440463" w:rsidRPr="00617370">
        <w:rPr>
          <w:spacing w:val="-4"/>
        </w:rPr>
        <w:t>81</w:t>
      </w:r>
      <w:r w:rsidR="004904DD" w:rsidRPr="00617370">
        <w:rPr>
          <w:spacing w:val="-4"/>
        </w:rPr>
        <w:t>, no.</w:t>
      </w:r>
      <w:r w:rsidR="00440463" w:rsidRPr="00617370">
        <w:rPr>
          <w:spacing w:val="-4"/>
        </w:rPr>
        <w:t>253</w:t>
      </w:r>
      <w:r w:rsidR="004904DD" w:rsidRPr="00617370">
        <w:rPr>
          <w:spacing w:val="-4"/>
        </w:rPr>
        <w:t>, pp.</w:t>
      </w:r>
      <w:r w:rsidR="00440463" w:rsidRPr="00617370">
        <w:rPr>
          <w:spacing w:val="-4"/>
        </w:rPr>
        <w:t>152</w:t>
      </w:r>
      <w:r w:rsidR="00AB1152" w:rsidRPr="00617370">
        <w:rPr>
          <w:spacing w:val="-4"/>
        </w:rPr>
        <w:t>—</w:t>
      </w:r>
      <w:r w:rsidR="00440463" w:rsidRPr="00617370">
        <w:rPr>
          <w:spacing w:val="-4"/>
        </w:rPr>
        <w:t>65</w:t>
      </w:r>
      <w:r w:rsidR="004904DD" w:rsidRPr="00617370">
        <w:rPr>
          <w:spacing w:val="-4"/>
        </w:rPr>
        <w:t>.</w:t>
      </w:r>
    </w:p>
    <w:p w14:paraId="1B88C433" w14:textId="6D5416D1" w:rsidR="00AE4590" w:rsidRPr="00617370" w:rsidRDefault="00AE4590" w:rsidP="00BB57AD">
      <w:pPr>
        <w:pStyle w:val="References"/>
      </w:pPr>
      <w:r w:rsidRPr="00617370">
        <w:t xml:space="preserve">Lee, J 2010, </w:t>
      </w:r>
      <w:r w:rsidRPr="00617370">
        <w:rPr>
          <w:i/>
        </w:rPr>
        <w:t>Returns from education: an occupational status approach</w:t>
      </w:r>
      <w:r w:rsidRPr="00617370">
        <w:t>, NCVER, Adelaide.</w:t>
      </w:r>
    </w:p>
    <w:p w14:paraId="623AD53B" w14:textId="4D2DDD2D" w:rsidR="00013FAA" w:rsidRPr="00617370" w:rsidRDefault="00013FAA" w:rsidP="00BB57AD">
      <w:pPr>
        <w:pStyle w:val="References"/>
      </w:pPr>
      <w:r w:rsidRPr="00617370">
        <w:t xml:space="preserve">Lim, P 2015, </w:t>
      </w:r>
      <w:r w:rsidRPr="00617370">
        <w:rPr>
          <w:i/>
        </w:rPr>
        <w:t>Do individual background characteristics influence tertiary completion rates?,</w:t>
      </w:r>
      <w:r w:rsidRPr="00617370">
        <w:t xml:space="preserve"> National Centre for Student Equity in Higher Education, Curtin University, Perth.</w:t>
      </w:r>
    </w:p>
    <w:p w14:paraId="71439266" w14:textId="7F6D5A01" w:rsidR="003432F3" w:rsidRPr="00617370" w:rsidRDefault="003432F3" w:rsidP="00BB57AD">
      <w:pPr>
        <w:pStyle w:val="References"/>
      </w:pPr>
      <w:r w:rsidRPr="00617370">
        <w:t xml:space="preserve">McMillan, J 2005, </w:t>
      </w:r>
      <w:r w:rsidRPr="00617370">
        <w:rPr>
          <w:i/>
          <w:iCs/>
        </w:rPr>
        <w:t>Course change and attrition from higher education</w:t>
      </w:r>
      <w:r w:rsidRPr="00617370">
        <w:t>, LSAY research report no.39, Australian Council for Education Research, Camberwell, Vic</w:t>
      </w:r>
    </w:p>
    <w:p w14:paraId="055C8A40" w14:textId="590628CD" w:rsidR="0082217D" w:rsidRPr="00617370" w:rsidRDefault="0082217D" w:rsidP="00BB57AD">
      <w:pPr>
        <w:pStyle w:val="References"/>
      </w:pPr>
      <w:r w:rsidRPr="00617370">
        <w:t>McMillan, J</w:t>
      </w:r>
      <w:r w:rsidR="0053288F" w:rsidRPr="00617370">
        <w:t xml:space="preserve"> &amp;</w:t>
      </w:r>
      <w:r w:rsidRPr="00617370">
        <w:t xml:space="preserve"> Marks, G 2003, </w:t>
      </w:r>
      <w:r w:rsidRPr="00617370">
        <w:rPr>
          <w:i/>
          <w:iCs/>
        </w:rPr>
        <w:t>School leavers in Australia: profiles and pathways</w:t>
      </w:r>
      <w:r w:rsidRPr="00617370">
        <w:t>, LSAY research report, no. 31,</w:t>
      </w:r>
      <w:r w:rsidR="00E83F1A" w:rsidRPr="00617370">
        <w:t xml:space="preserve"> </w:t>
      </w:r>
      <w:r w:rsidRPr="00617370">
        <w:t xml:space="preserve">Australian Council for Educational Research, Camberwell, Vic. </w:t>
      </w:r>
    </w:p>
    <w:p w14:paraId="16E9AA3E" w14:textId="5616B25D" w:rsidR="004C3A82" w:rsidRPr="00617370" w:rsidRDefault="004C3A82" w:rsidP="00BB57AD">
      <w:pPr>
        <w:pStyle w:val="References"/>
      </w:pPr>
      <w:r w:rsidRPr="00617370">
        <w:t>Marks, G 2019, ‘How important are socioeconomic background and other factors to the university career vis-à-vis prior student performance: evidence from Australian Longitudinal data’, Educational Research and Evaluation, vol.25, no.7—8, pp.357—80.</w:t>
      </w:r>
    </w:p>
    <w:p w14:paraId="1431BD52" w14:textId="7CDB1BF9" w:rsidR="00BF3643" w:rsidRPr="00617370" w:rsidRDefault="004C3A82" w:rsidP="00BB57AD">
      <w:pPr>
        <w:pStyle w:val="References"/>
      </w:pPr>
      <w:r w:rsidRPr="00617370">
        <w:t>——</w:t>
      </w:r>
      <w:r w:rsidR="00BF3643" w:rsidRPr="00617370">
        <w:t>2010, ‘What aspects of schooling are important? School effects on tertiary entrance performance’, School Effectiveness and School Improvement, vol.21, no.3, pp.267</w:t>
      </w:r>
      <w:r w:rsidR="00DB17CF" w:rsidRPr="00617370">
        <w:t>—</w:t>
      </w:r>
      <w:r w:rsidR="00BF3643" w:rsidRPr="00617370">
        <w:t>87.</w:t>
      </w:r>
    </w:p>
    <w:p w14:paraId="135945CB" w14:textId="43614BEA" w:rsidR="00C7283D" w:rsidRPr="00617370" w:rsidRDefault="00C7283D" w:rsidP="00BB57AD">
      <w:pPr>
        <w:pStyle w:val="References"/>
      </w:pPr>
      <w:r w:rsidRPr="00617370">
        <w:t xml:space="preserve">——2007, </w:t>
      </w:r>
      <w:r w:rsidR="003432F3" w:rsidRPr="00617370">
        <w:rPr>
          <w:i/>
          <w:iCs/>
        </w:rPr>
        <w:t>Completing university: characteristics and outcomes of completing and non-completing Students</w:t>
      </w:r>
      <w:r w:rsidR="003432F3" w:rsidRPr="00617370">
        <w:t xml:space="preserve">, </w:t>
      </w:r>
      <w:r w:rsidRPr="00617370">
        <w:t>LSAY research report, no. 5</w:t>
      </w:r>
      <w:r w:rsidR="003432F3" w:rsidRPr="00617370">
        <w:t>1</w:t>
      </w:r>
      <w:r w:rsidRPr="00617370">
        <w:t>, Australian Council for Educational Research, Camberwell, Vic.</w:t>
      </w:r>
    </w:p>
    <w:p w14:paraId="6740FD45" w14:textId="00BD800F" w:rsidR="00BF3643" w:rsidRPr="00617370" w:rsidRDefault="00BF3643" w:rsidP="00BB57AD">
      <w:pPr>
        <w:pStyle w:val="References"/>
      </w:pPr>
      <w:r w:rsidRPr="00617370">
        <w:t>Marks, G</w:t>
      </w:r>
      <w:r w:rsidR="004C3A82" w:rsidRPr="00617370">
        <w:t xml:space="preserve"> &amp;</w:t>
      </w:r>
      <w:r w:rsidRPr="00617370">
        <w:t xml:space="preserve"> Fleming, N 1999, </w:t>
      </w:r>
      <w:r w:rsidRPr="00617370">
        <w:rPr>
          <w:i/>
          <w:iCs/>
        </w:rPr>
        <w:t>Early school leaving in Australia: findings from the 1995 Year 9 LSAY cohort</w:t>
      </w:r>
      <w:r w:rsidRPr="00617370">
        <w:t>, LSAY research report, no. 11, Australian Council for Educational Research, Camberwell</w:t>
      </w:r>
      <w:r w:rsidR="00DB17CF" w:rsidRPr="00617370">
        <w:t>, Vic</w:t>
      </w:r>
      <w:r w:rsidRPr="00617370">
        <w:t>.</w:t>
      </w:r>
    </w:p>
    <w:p w14:paraId="492998F3" w14:textId="4211791F" w:rsidR="00AE4590" w:rsidRPr="00617370" w:rsidRDefault="00AE4590" w:rsidP="00BB57AD">
      <w:pPr>
        <w:pStyle w:val="References"/>
      </w:pPr>
      <w:r w:rsidRPr="00617370">
        <w:t xml:space="preserve">Marks, G, McMillan, J &amp; Hillman, K 2001, </w:t>
      </w:r>
      <w:r w:rsidRPr="00617370">
        <w:rPr>
          <w:i/>
          <w:iCs/>
        </w:rPr>
        <w:t>Tertiary entrance performance: the role of student background and school factors</w:t>
      </w:r>
      <w:r w:rsidRPr="00617370">
        <w:t>, LSAY research report no.22, Australian Council for Education Research</w:t>
      </w:r>
      <w:r w:rsidR="00EF66AF" w:rsidRPr="00617370">
        <w:t>, Camberwell, Vic</w:t>
      </w:r>
      <w:r w:rsidRPr="00617370">
        <w:t>.</w:t>
      </w:r>
    </w:p>
    <w:p w14:paraId="2DA60A7E" w14:textId="5BBDDA1C" w:rsidR="00AE4590" w:rsidRPr="00617370" w:rsidRDefault="00EF66AF" w:rsidP="00BB57AD">
      <w:pPr>
        <w:pStyle w:val="References"/>
      </w:pPr>
      <w:r w:rsidRPr="00617370">
        <w:t>NCVER (National Centre for Vocational Education Research)</w:t>
      </w:r>
      <w:r w:rsidR="00BD532B" w:rsidRPr="00617370">
        <w:t xml:space="preserve"> </w:t>
      </w:r>
      <w:r w:rsidRPr="00617370">
        <w:t xml:space="preserve">2023, </w:t>
      </w:r>
      <w:r w:rsidRPr="00617370">
        <w:rPr>
          <w:i/>
          <w:iCs/>
        </w:rPr>
        <w:t>Longitudinal Surveys of Australian Youth (LSAY) 2015 cohort user guide</w:t>
      </w:r>
      <w:r w:rsidRPr="00617370">
        <w:t>, NCVER, Adelaide</w:t>
      </w:r>
      <w:r w:rsidR="00BD532B" w:rsidRPr="00617370">
        <w:t>.</w:t>
      </w:r>
    </w:p>
    <w:p w14:paraId="798C13AB" w14:textId="04A86D0F" w:rsidR="00110A43" w:rsidRPr="00617370" w:rsidRDefault="00BD532B" w:rsidP="00BB57AD">
      <w:pPr>
        <w:pStyle w:val="References"/>
      </w:pPr>
      <w:r w:rsidRPr="00617370">
        <w:t>OECD (</w:t>
      </w:r>
      <w:r w:rsidR="00110A43" w:rsidRPr="00617370">
        <w:t>Organisation for Economic Co-operation and Development</w:t>
      </w:r>
      <w:r w:rsidRPr="00617370">
        <w:t>)</w:t>
      </w:r>
      <w:r w:rsidR="00110A43" w:rsidRPr="00617370">
        <w:t xml:space="preserve"> 2016, </w:t>
      </w:r>
      <w:r w:rsidR="00110A43" w:rsidRPr="00617370">
        <w:rPr>
          <w:i/>
          <w:iCs/>
        </w:rPr>
        <w:t xml:space="preserve">PISA 2015 </w:t>
      </w:r>
      <w:r w:rsidRPr="00617370">
        <w:rPr>
          <w:i/>
          <w:iCs/>
        </w:rPr>
        <w:t>technical report</w:t>
      </w:r>
      <w:r w:rsidR="00110A43" w:rsidRPr="00617370">
        <w:t>, Paris, OECD.</w:t>
      </w:r>
    </w:p>
    <w:p w14:paraId="55ED5F7C" w14:textId="275F65BF" w:rsidR="00AE4590" w:rsidRPr="00617370" w:rsidRDefault="00AE4590" w:rsidP="00BB57AD">
      <w:pPr>
        <w:pStyle w:val="References"/>
      </w:pPr>
      <w:r w:rsidRPr="00617370">
        <w:t xml:space="preserve">Piacentini, M &amp; Pacileo, B 2019, </w:t>
      </w:r>
      <w:r w:rsidRPr="00617370">
        <w:rPr>
          <w:i/>
          <w:iCs/>
        </w:rPr>
        <w:t xml:space="preserve">How are PISA results related to adult life outcomes? PISA in </w:t>
      </w:r>
      <w:r w:rsidR="00BD532B" w:rsidRPr="00617370">
        <w:rPr>
          <w:i/>
          <w:iCs/>
        </w:rPr>
        <w:t>f</w:t>
      </w:r>
      <w:r w:rsidRPr="00617370">
        <w:rPr>
          <w:i/>
          <w:iCs/>
        </w:rPr>
        <w:t>ocus</w:t>
      </w:r>
      <w:r w:rsidR="00602C85" w:rsidRPr="00617370">
        <w:t>,</w:t>
      </w:r>
      <w:r w:rsidRPr="00617370">
        <w:t xml:space="preserve"> no.102, </w:t>
      </w:r>
      <w:r w:rsidR="00BD532B" w:rsidRPr="00617370">
        <w:t>OECD, Paris.</w:t>
      </w:r>
    </w:p>
    <w:p w14:paraId="3C50BD9B" w14:textId="4A038A8B" w:rsidR="00EC1B18" w:rsidRPr="00617370" w:rsidRDefault="00EC1B18" w:rsidP="00BB57AD">
      <w:pPr>
        <w:pStyle w:val="References"/>
      </w:pPr>
      <w:r w:rsidRPr="00617370">
        <w:t>Polidano, C, Hanel, B</w:t>
      </w:r>
      <w:r w:rsidR="002D16BD" w:rsidRPr="00617370">
        <w:t xml:space="preserve"> &amp; </w:t>
      </w:r>
      <w:r w:rsidRPr="00617370">
        <w:t>Buddelmeyer</w:t>
      </w:r>
      <w:r w:rsidR="002D16BD" w:rsidRPr="00617370">
        <w:t xml:space="preserve">, H 2012, </w:t>
      </w:r>
      <w:r w:rsidR="002D16BD" w:rsidRPr="00617370">
        <w:rPr>
          <w:i/>
          <w:iCs/>
        </w:rPr>
        <w:t>Explaining the SES school completion gap</w:t>
      </w:r>
      <w:r w:rsidR="002D16BD" w:rsidRPr="00617370">
        <w:t xml:space="preserve">, Melbourne Institute Working </w:t>
      </w:r>
      <w:r w:rsidR="00BD532B" w:rsidRPr="00617370">
        <w:t>p</w:t>
      </w:r>
      <w:r w:rsidR="002D16BD" w:rsidRPr="00617370">
        <w:t xml:space="preserve">aper, </w:t>
      </w:r>
      <w:r w:rsidR="00BD532B" w:rsidRPr="00617370">
        <w:t>n</w:t>
      </w:r>
      <w:r w:rsidR="002D16BD" w:rsidRPr="00617370">
        <w:t>o.</w:t>
      </w:r>
      <w:r w:rsidR="00A47A4F" w:rsidRPr="00617370">
        <w:t>16</w:t>
      </w:r>
      <w:r w:rsidR="002D16BD" w:rsidRPr="00617370">
        <w:t>/1</w:t>
      </w:r>
      <w:r w:rsidR="00A47A4F" w:rsidRPr="00617370">
        <w:t>2</w:t>
      </w:r>
      <w:r w:rsidR="002D16BD" w:rsidRPr="00617370">
        <w:t>, Melbourne Institute.</w:t>
      </w:r>
    </w:p>
    <w:p w14:paraId="0E74FE7A" w14:textId="379667A9" w:rsidR="00AE4590" w:rsidRPr="00617370" w:rsidRDefault="00AE4590" w:rsidP="00BB57AD">
      <w:pPr>
        <w:pStyle w:val="References"/>
      </w:pPr>
      <w:r w:rsidRPr="00617370">
        <w:t>Productivity Commission 2019</w:t>
      </w:r>
      <w:r w:rsidRPr="00617370">
        <w:rPr>
          <w:i/>
          <w:iCs/>
        </w:rPr>
        <w:t xml:space="preserve">, The demand driven university system: </w:t>
      </w:r>
      <w:r w:rsidR="005634EC" w:rsidRPr="00617370">
        <w:rPr>
          <w:i/>
          <w:iCs/>
        </w:rPr>
        <w:t>a</w:t>
      </w:r>
      <w:r w:rsidRPr="00617370">
        <w:rPr>
          <w:i/>
          <w:iCs/>
        </w:rPr>
        <w:t xml:space="preserve"> mixed report card</w:t>
      </w:r>
      <w:r w:rsidRPr="00617370">
        <w:t>, Productivity Commission</w:t>
      </w:r>
      <w:r w:rsidR="005634EC" w:rsidRPr="00617370">
        <w:t>, Canberra</w:t>
      </w:r>
      <w:r w:rsidRPr="00617370">
        <w:t>.</w:t>
      </w:r>
    </w:p>
    <w:p w14:paraId="39534D69" w14:textId="12001287" w:rsidR="00AE4590" w:rsidRPr="00617370" w:rsidRDefault="00AE4590" w:rsidP="00BB57AD">
      <w:pPr>
        <w:pStyle w:val="References"/>
      </w:pPr>
      <w:r w:rsidRPr="00617370">
        <w:t xml:space="preserve">Rudd, K &amp; Gillard, J 2008, </w:t>
      </w:r>
      <w:r w:rsidRPr="00617370">
        <w:rPr>
          <w:i/>
          <w:iCs/>
        </w:rPr>
        <w:t xml:space="preserve">Quality education: </w:t>
      </w:r>
      <w:r w:rsidR="005634EC" w:rsidRPr="00617370">
        <w:rPr>
          <w:i/>
          <w:iCs/>
        </w:rPr>
        <w:t>t</w:t>
      </w:r>
      <w:r w:rsidRPr="00617370">
        <w:rPr>
          <w:i/>
          <w:iCs/>
        </w:rPr>
        <w:t>he case for an education revolution in our schools</w:t>
      </w:r>
      <w:r w:rsidRPr="00617370">
        <w:t>,</w:t>
      </w:r>
      <w:r w:rsidR="008179FB" w:rsidRPr="00617370">
        <w:t xml:space="preserve"> </w:t>
      </w:r>
      <w:r w:rsidRPr="00617370">
        <w:t>Commonwealth of Australia</w:t>
      </w:r>
      <w:r w:rsidR="008179FB" w:rsidRPr="00617370">
        <w:t>, Canberra.</w:t>
      </w:r>
    </w:p>
    <w:p w14:paraId="4BCD8CBC" w14:textId="782E57FB" w:rsidR="00AE4590" w:rsidRPr="00617370" w:rsidRDefault="00AE4590" w:rsidP="00BB57AD">
      <w:pPr>
        <w:pStyle w:val="References"/>
      </w:pPr>
      <w:r w:rsidRPr="00617370">
        <w:t>Ryan, C 201</w:t>
      </w:r>
      <w:r w:rsidR="00484E70" w:rsidRPr="00617370">
        <w:t>1</w:t>
      </w:r>
      <w:r w:rsidRPr="00617370">
        <w:t xml:space="preserve">, </w:t>
      </w:r>
      <w:r w:rsidRPr="00617370">
        <w:rPr>
          <w:i/>
          <w:iCs/>
        </w:rPr>
        <w:t>Year 12 completion and youth transitions</w:t>
      </w:r>
      <w:r w:rsidRPr="00617370">
        <w:t>, LSAY research report no.56, NCVER, Adelaide.</w:t>
      </w:r>
    </w:p>
    <w:p w14:paraId="367CD66C" w14:textId="0F484335" w:rsidR="00A618D5" w:rsidRPr="00617370" w:rsidRDefault="00287A1C" w:rsidP="00BB57AD">
      <w:pPr>
        <w:pStyle w:val="References"/>
      </w:pPr>
      <w:r w:rsidRPr="00617370">
        <w:t>Schellekens, M, Ciarrochi, J, Dillon, A, Sahdra, B, Brockman, R, Mooney, J, Parker, P</w:t>
      </w:r>
      <w:r w:rsidR="009A1F25" w:rsidRPr="00617370">
        <w:t xml:space="preserve"> 2022, </w:t>
      </w:r>
      <w:r w:rsidR="00331DAA" w:rsidRPr="00617370">
        <w:t>‘</w:t>
      </w:r>
      <w:r w:rsidR="009A1F25" w:rsidRPr="00617370">
        <w:t>The role of achievement, gender, SES, location and policy in explaining the Indigenous gap in high-school completion</w:t>
      </w:r>
      <w:r w:rsidR="00331DAA" w:rsidRPr="00617370">
        <w:t>’</w:t>
      </w:r>
      <w:r w:rsidR="009A1F25" w:rsidRPr="00617370">
        <w:t>, British</w:t>
      </w:r>
      <w:r w:rsidR="002E5710" w:rsidRPr="00617370">
        <w:t xml:space="preserve"> Educational Research Journal, vol.</w:t>
      </w:r>
      <w:r w:rsidR="00331DAA" w:rsidRPr="00617370">
        <w:t>48</w:t>
      </w:r>
      <w:r w:rsidR="002E5710" w:rsidRPr="00617370">
        <w:t>, no.</w:t>
      </w:r>
      <w:r w:rsidR="008B461F" w:rsidRPr="00617370">
        <w:t>4</w:t>
      </w:r>
      <w:r w:rsidR="002E5710" w:rsidRPr="00617370">
        <w:t>, pp.</w:t>
      </w:r>
      <w:r w:rsidR="008B461F" w:rsidRPr="00617370">
        <w:t>730</w:t>
      </w:r>
      <w:r w:rsidR="00FE69AB" w:rsidRPr="00617370">
        <w:t>—</w:t>
      </w:r>
      <w:r w:rsidR="008B461F" w:rsidRPr="00617370">
        <w:t>50</w:t>
      </w:r>
      <w:r w:rsidR="002E5710" w:rsidRPr="00617370">
        <w:t>.</w:t>
      </w:r>
    </w:p>
    <w:p w14:paraId="3A4A5280" w14:textId="6C5FC2E3" w:rsidR="00526B68" w:rsidRPr="00617370" w:rsidRDefault="00526B68" w:rsidP="00BB57AD">
      <w:pPr>
        <w:pStyle w:val="References"/>
      </w:pPr>
      <w:r w:rsidRPr="00617370">
        <w:t>Universities Admissions Centre</w:t>
      </w:r>
      <w:r w:rsidR="00920AB5" w:rsidRPr="00617370">
        <w:t xml:space="preserve"> 2023</w:t>
      </w:r>
      <w:r w:rsidR="00A5384D" w:rsidRPr="00617370">
        <w:t xml:space="preserve">, </w:t>
      </w:r>
      <w:r w:rsidR="00875CB4" w:rsidRPr="00617370">
        <w:t>‘</w:t>
      </w:r>
      <w:r w:rsidR="00626BE6" w:rsidRPr="00617370">
        <w:t>What is the ATAR</w:t>
      </w:r>
      <w:r w:rsidR="00875CB4" w:rsidRPr="00617370">
        <w:t>’</w:t>
      </w:r>
      <w:r w:rsidR="00626BE6" w:rsidRPr="00617370">
        <w:t xml:space="preserve">, </w:t>
      </w:r>
      <w:r w:rsidR="005A5AC2" w:rsidRPr="00617370">
        <w:t xml:space="preserve">viewed </w:t>
      </w:r>
      <w:r w:rsidR="004D2B25" w:rsidRPr="00617370">
        <w:t>October 2023, &lt;</w:t>
      </w:r>
      <w:r w:rsidR="008539D2" w:rsidRPr="00617370">
        <w:t>https://www.uac.edu.au/future-applicants/atar</w:t>
      </w:r>
      <w:r w:rsidR="004D2B25" w:rsidRPr="00617370">
        <w:t>&gt;.</w:t>
      </w:r>
    </w:p>
    <w:p w14:paraId="2EF68D1C" w14:textId="77777777" w:rsidR="00AE4590" w:rsidRPr="00617370" w:rsidRDefault="00AE4590" w:rsidP="00AE4590">
      <w:pPr>
        <w:pStyle w:val="References"/>
        <w:spacing w:before="160"/>
        <w:rPr>
          <w:szCs w:val="18"/>
        </w:rPr>
      </w:pPr>
    </w:p>
    <w:p w14:paraId="30C57F63" w14:textId="77777777" w:rsidR="00AE4590" w:rsidRPr="00617370" w:rsidRDefault="00AE4590">
      <w:pPr>
        <w:spacing w:before="0" w:line="240" w:lineRule="auto"/>
        <w:rPr>
          <w:b/>
        </w:rPr>
      </w:pPr>
      <w:r w:rsidRPr="00617370">
        <w:rPr>
          <w:b/>
        </w:rPr>
        <w:br w:type="page"/>
      </w:r>
    </w:p>
    <w:p w14:paraId="0EF495ED" w14:textId="6ED06370" w:rsidR="00B3153A" w:rsidRPr="00617370" w:rsidRDefault="009776FA" w:rsidP="00A07368">
      <w:pPr>
        <w:pStyle w:val="Heading1"/>
      </w:pPr>
      <w:bookmarkStart w:id="65" w:name="_Toc166511944"/>
      <w:r w:rsidRPr="00617370">
        <w:rPr>
          <w:noProof/>
        </w:rPr>
        <w:lastRenderedPageBreak/>
        <w:drawing>
          <wp:anchor distT="0" distB="0" distL="114300" distR="114300" simplePos="0" relativeHeight="251674636" behindDoc="0" locked="0" layoutInCell="1" allowOverlap="1" wp14:anchorId="3DCA53A3" wp14:editId="0B0E31CA">
            <wp:simplePos x="0" y="0"/>
            <wp:positionH relativeFrom="column">
              <wp:posOffset>-635</wp:posOffset>
            </wp:positionH>
            <wp:positionV relativeFrom="paragraph">
              <wp:posOffset>0</wp:posOffset>
            </wp:positionV>
            <wp:extent cx="419100" cy="419100"/>
            <wp:effectExtent l="0" t="0" r="0" b="0"/>
            <wp:wrapSquare wrapText="bothSides"/>
            <wp:docPr id="6461232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23247" name="Picture 6"/>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7FAA2322" w:rsidRPr="00617370">
        <w:t>Appendix</w:t>
      </w:r>
      <w:bookmarkEnd w:id="31"/>
      <w:bookmarkEnd w:id="64"/>
      <w:bookmarkEnd w:id="65"/>
    </w:p>
    <w:p w14:paraId="7606AE06" w14:textId="222F00B0" w:rsidR="00B3153A" w:rsidRPr="00617370" w:rsidRDefault="2FCA449D" w:rsidP="3E71FE18">
      <w:pPr>
        <w:pStyle w:val="Tabletitle"/>
      </w:pPr>
      <w:bookmarkStart w:id="66" w:name="_Toc163480807"/>
      <w:r w:rsidRPr="00617370">
        <w:t>Table A1</w:t>
      </w:r>
      <w:r w:rsidR="00B3153A" w:rsidRPr="00617370">
        <w:tab/>
      </w:r>
      <w:r w:rsidRPr="00617370">
        <w:t>Correlation between ATAR outcomes and NAPLAN achievement scores for all year levels</w:t>
      </w:r>
      <w:bookmarkEnd w:id="66"/>
    </w:p>
    <w:tbl>
      <w:tblPr>
        <w:tblStyle w:val="NCVERTable"/>
        <w:tblW w:w="9356" w:type="dxa"/>
        <w:tblLook w:val="04A0" w:firstRow="1" w:lastRow="0" w:firstColumn="1" w:lastColumn="0" w:noHBand="0" w:noVBand="1"/>
      </w:tblPr>
      <w:tblGrid>
        <w:gridCol w:w="1985"/>
        <w:gridCol w:w="1842"/>
        <w:gridCol w:w="1843"/>
        <w:gridCol w:w="1843"/>
        <w:gridCol w:w="1843"/>
      </w:tblGrid>
      <w:tr w:rsidR="3E71FE18" w:rsidRPr="00617370" w14:paraId="6BDE0F9A" w14:textId="77777777" w:rsidTr="00494BCD">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85" w:type="dxa"/>
          </w:tcPr>
          <w:p w14:paraId="196AE011" w14:textId="0322AC88" w:rsidR="3E71FE18" w:rsidRPr="00617370" w:rsidRDefault="3E71FE18" w:rsidP="00ED2F6F">
            <w:pPr>
              <w:pStyle w:val="Tablehead1"/>
              <w:jc w:val="center"/>
              <w:rPr>
                <w:b/>
                <w:bCs w:val="0"/>
              </w:rPr>
            </w:pPr>
          </w:p>
        </w:tc>
        <w:tc>
          <w:tcPr>
            <w:tcW w:w="1842" w:type="dxa"/>
          </w:tcPr>
          <w:p w14:paraId="2BDBEC20" w14:textId="620338D3" w:rsidR="3E71FE18" w:rsidRPr="00617370" w:rsidRDefault="3E71FE18"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Year 3 achievement scores (reading </w:t>
            </w:r>
            <w:r w:rsidR="004957C7" w:rsidRPr="00617370">
              <w:rPr>
                <w:b/>
                <w:bCs w:val="0"/>
              </w:rPr>
              <w:t>and</w:t>
            </w:r>
            <w:r w:rsidRPr="00617370">
              <w:rPr>
                <w:b/>
                <w:bCs w:val="0"/>
              </w:rPr>
              <w:t xml:space="preserve"> numeracy)</w:t>
            </w:r>
          </w:p>
        </w:tc>
        <w:tc>
          <w:tcPr>
            <w:tcW w:w="1843" w:type="dxa"/>
          </w:tcPr>
          <w:p w14:paraId="17DD8FE0" w14:textId="6C9511A4" w:rsidR="3E71FE18" w:rsidRPr="00617370" w:rsidRDefault="3E71FE18"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Year 5 achievement scores (reading </w:t>
            </w:r>
            <w:r w:rsidR="004957C7" w:rsidRPr="00617370">
              <w:rPr>
                <w:b/>
                <w:bCs w:val="0"/>
              </w:rPr>
              <w:t>and</w:t>
            </w:r>
            <w:r w:rsidRPr="00617370">
              <w:rPr>
                <w:b/>
                <w:bCs w:val="0"/>
              </w:rPr>
              <w:t xml:space="preserve"> numeracy)</w:t>
            </w:r>
          </w:p>
        </w:tc>
        <w:tc>
          <w:tcPr>
            <w:tcW w:w="1843" w:type="dxa"/>
          </w:tcPr>
          <w:p w14:paraId="3E440FF7" w14:textId="3D813947" w:rsidR="3E71FE18" w:rsidRPr="00617370" w:rsidRDefault="3E71FE18"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Year 7 achievement scores (reading </w:t>
            </w:r>
            <w:r w:rsidR="004957C7" w:rsidRPr="00617370">
              <w:rPr>
                <w:b/>
                <w:bCs w:val="0"/>
              </w:rPr>
              <w:t>and</w:t>
            </w:r>
            <w:r w:rsidRPr="00617370">
              <w:rPr>
                <w:b/>
                <w:bCs w:val="0"/>
              </w:rPr>
              <w:t xml:space="preserve"> numeracy)</w:t>
            </w:r>
          </w:p>
        </w:tc>
        <w:tc>
          <w:tcPr>
            <w:tcW w:w="1843" w:type="dxa"/>
          </w:tcPr>
          <w:p w14:paraId="392F5AE0" w14:textId="63C1FB3E" w:rsidR="3E71FE18" w:rsidRPr="00617370" w:rsidRDefault="3E71FE18"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 xml:space="preserve">Year 9 achievement scores (reading </w:t>
            </w:r>
            <w:r w:rsidR="004957C7" w:rsidRPr="00617370">
              <w:rPr>
                <w:b/>
                <w:bCs w:val="0"/>
              </w:rPr>
              <w:t>and</w:t>
            </w:r>
            <w:r w:rsidRPr="00617370">
              <w:rPr>
                <w:b/>
                <w:bCs w:val="0"/>
              </w:rPr>
              <w:t xml:space="preserve"> numeracy)</w:t>
            </w:r>
          </w:p>
        </w:tc>
      </w:tr>
      <w:tr w:rsidR="3E71FE18" w:rsidRPr="00617370" w14:paraId="2CB3D437" w14:textId="77777777" w:rsidTr="00494BC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nil"/>
            </w:tcBorders>
          </w:tcPr>
          <w:p w14:paraId="4CC36637" w14:textId="77777777" w:rsidR="3E71FE18" w:rsidRPr="00617370" w:rsidRDefault="3E71FE18" w:rsidP="3E71FE18">
            <w:pPr>
              <w:pStyle w:val="Tabletext"/>
              <w:rPr>
                <w:b w:val="0"/>
                <w:bCs/>
              </w:rPr>
            </w:pPr>
            <w:r w:rsidRPr="00617370">
              <w:rPr>
                <w:b w:val="0"/>
                <w:bCs/>
              </w:rPr>
              <w:t>ATAR recipients</w:t>
            </w:r>
          </w:p>
        </w:tc>
        <w:tc>
          <w:tcPr>
            <w:tcW w:w="1842" w:type="dxa"/>
            <w:tcBorders>
              <w:top w:val="single" w:sz="4" w:space="0" w:color="auto"/>
              <w:bottom w:val="nil"/>
            </w:tcBorders>
            <w:vAlign w:val="center"/>
          </w:tcPr>
          <w:p w14:paraId="3026F84C" w14:textId="058992D3" w:rsidR="3E71FE18" w:rsidRPr="00617370" w:rsidRDefault="3E71FE18" w:rsidP="00A07368">
            <w:pPr>
              <w:pStyle w:val="Tabletext"/>
              <w:jc w:val="center"/>
              <w:cnfStyle w:val="000000100000" w:firstRow="0" w:lastRow="0" w:firstColumn="0" w:lastColumn="0" w:oddVBand="0" w:evenVBand="0" w:oddHBand="1" w:evenHBand="0" w:firstRowFirstColumn="0" w:firstRowLastColumn="0" w:lastRowFirstColumn="0" w:lastRowLastColumn="0"/>
            </w:pPr>
            <w:r w:rsidRPr="00617370">
              <w:t>0.34</w:t>
            </w:r>
          </w:p>
        </w:tc>
        <w:tc>
          <w:tcPr>
            <w:tcW w:w="1843" w:type="dxa"/>
            <w:tcBorders>
              <w:top w:val="single" w:sz="4" w:space="0" w:color="auto"/>
              <w:bottom w:val="nil"/>
            </w:tcBorders>
            <w:vAlign w:val="center"/>
          </w:tcPr>
          <w:p w14:paraId="4AB7BEE6" w14:textId="5065A6F9" w:rsidR="3E71FE18" w:rsidRPr="00617370" w:rsidRDefault="3E71FE18" w:rsidP="00A07368">
            <w:pPr>
              <w:pStyle w:val="Tabletext"/>
              <w:jc w:val="center"/>
              <w:cnfStyle w:val="000000100000" w:firstRow="0" w:lastRow="0" w:firstColumn="0" w:lastColumn="0" w:oddVBand="0" w:evenVBand="0" w:oddHBand="1" w:evenHBand="0" w:firstRowFirstColumn="0" w:firstRowLastColumn="0" w:lastRowFirstColumn="0" w:lastRowLastColumn="0"/>
            </w:pPr>
            <w:r w:rsidRPr="00617370">
              <w:t>0.37</w:t>
            </w:r>
          </w:p>
        </w:tc>
        <w:tc>
          <w:tcPr>
            <w:tcW w:w="1843" w:type="dxa"/>
            <w:tcBorders>
              <w:top w:val="single" w:sz="4" w:space="0" w:color="auto"/>
              <w:bottom w:val="nil"/>
            </w:tcBorders>
            <w:vAlign w:val="center"/>
          </w:tcPr>
          <w:p w14:paraId="17ACF5FC" w14:textId="1F15F3CC" w:rsidR="3E71FE18" w:rsidRPr="00617370" w:rsidRDefault="3E71FE18" w:rsidP="00A07368">
            <w:pPr>
              <w:pStyle w:val="Tabletext"/>
              <w:jc w:val="center"/>
              <w:cnfStyle w:val="000000100000" w:firstRow="0" w:lastRow="0" w:firstColumn="0" w:lastColumn="0" w:oddVBand="0" w:evenVBand="0" w:oddHBand="1" w:evenHBand="0" w:firstRowFirstColumn="0" w:firstRowLastColumn="0" w:lastRowFirstColumn="0" w:lastRowLastColumn="0"/>
            </w:pPr>
            <w:r w:rsidRPr="00617370">
              <w:t>0.</w:t>
            </w:r>
            <w:r w:rsidR="00994D0A" w:rsidRPr="00617370">
              <w:t>38</w:t>
            </w:r>
          </w:p>
        </w:tc>
        <w:tc>
          <w:tcPr>
            <w:tcW w:w="1843" w:type="dxa"/>
            <w:tcBorders>
              <w:top w:val="single" w:sz="4" w:space="0" w:color="auto"/>
              <w:bottom w:val="nil"/>
            </w:tcBorders>
            <w:vAlign w:val="center"/>
          </w:tcPr>
          <w:p w14:paraId="5D19FE03" w14:textId="27AFA6BC" w:rsidR="3E71FE18" w:rsidRPr="00617370" w:rsidRDefault="3E71FE18" w:rsidP="00A07368">
            <w:pPr>
              <w:pStyle w:val="Tabletext"/>
              <w:jc w:val="center"/>
              <w:cnfStyle w:val="000000100000" w:firstRow="0" w:lastRow="0" w:firstColumn="0" w:lastColumn="0" w:oddVBand="0" w:evenVBand="0" w:oddHBand="1" w:evenHBand="0" w:firstRowFirstColumn="0" w:firstRowLastColumn="0" w:lastRowFirstColumn="0" w:lastRowLastColumn="0"/>
            </w:pPr>
            <w:r w:rsidRPr="00617370">
              <w:t>0.</w:t>
            </w:r>
            <w:r w:rsidR="00994D0A" w:rsidRPr="00617370">
              <w:t>39</w:t>
            </w:r>
          </w:p>
        </w:tc>
      </w:tr>
      <w:tr w:rsidR="3E71FE18" w:rsidRPr="00617370" w14:paraId="014D78C0" w14:textId="77777777" w:rsidTr="00494BCD">
        <w:trPr>
          <w:trHeight w:val="113"/>
        </w:trPr>
        <w:tc>
          <w:tcPr>
            <w:cnfStyle w:val="001000000000" w:firstRow="0" w:lastRow="0" w:firstColumn="1" w:lastColumn="0" w:oddVBand="0" w:evenVBand="0" w:oddHBand="0" w:evenHBand="0" w:firstRowFirstColumn="0" w:firstRowLastColumn="0" w:lastRowFirstColumn="0" w:lastRowLastColumn="0"/>
            <w:tcW w:w="1985" w:type="dxa"/>
            <w:tcBorders>
              <w:top w:val="nil"/>
            </w:tcBorders>
          </w:tcPr>
          <w:p w14:paraId="0FE4DAB1" w14:textId="77777777" w:rsidR="3E71FE18" w:rsidRPr="00617370" w:rsidRDefault="3E71FE18" w:rsidP="3E71FE18">
            <w:pPr>
              <w:pStyle w:val="Tabletext"/>
              <w:rPr>
                <w:b w:val="0"/>
                <w:bCs/>
              </w:rPr>
            </w:pPr>
            <w:r w:rsidRPr="00617370">
              <w:rPr>
                <w:b w:val="0"/>
                <w:bCs/>
              </w:rPr>
              <w:t>ATAR high achievers</w:t>
            </w:r>
          </w:p>
        </w:tc>
        <w:tc>
          <w:tcPr>
            <w:tcW w:w="1842" w:type="dxa"/>
            <w:tcBorders>
              <w:top w:val="nil"/>
            </w:tcBorders>
            <w:vAlign w:val="center"/>
          </w:tcPr>
          <w:p w14:paraId="5C1C3AA8" w14:textId="684A36F5" w:rsidR="3E71FE18" w:rsidRPr="00617370" w:rsidRDefault="3E71FE18" w:rsidP="00A07368">
            <w:pPr>
              <w:pStyle w:val="Tabletext"/>
              <w:jc w:val="center"/>
              <w:cnfStyle w:val="000000000000" w:firstRow="0" w:lastRow="0" w:firstColumn="0" w:lastColumn="0" w:oddVBand="0" w:evenVBand="0" w:oddHBand="0" w:evenHBand="0" w:firstRowFirstColumn="0" w:firstRowLastColumn="0" w:lastRowFirstColumn="0" w:lastRowLastColumn="0"/>
            </w:pPr>
            <w:r w:rsidRPr="00617370">
              <w:t>0.32</w:t>
            </w:r>
          </w:p>
        </w:tc>
        <w:tc>
          <w:tcPr>
            <w:tcW w:w="1843" w:type="dxa"/>
            <w:tcBorders>
              <w:top w:val="nil"/>
            </w:tcBorders>
            <w:vAlign w:val="center"/>
          </w:tcPr>
          <w:p w14:paraId="4917567A" w14:textId="747D7DB0" w:rsidR="3E71FE18" w:rsidRPr="00617370" w:rsidRDefault="3E71FE18" w:rsidP="00A07368">
            <w:pPr>
              <w:pStyle w:val="Tabletext"/>
              <w:jc w:val="center"/>
              <w:cnfStyle w:val="000000000000" w:firstRow="0" w:lastRow="0" w:firstColumn="0" w:lastColumn="0" w:oddVBand="0" w:evenVBand="0" w:oddHBand="0" w:evenHBand="0" w:firstRowFirstColumn="0" w:firstRowLastColumn="0" w:lastRowFirstColumn="0" w:lastRowLastColumn="0"/>
            </w:pPr>
            <w:r w:rsidRPr="00617370">
              <w:t>0.37</w:t>
            </w:r>
          </w:p>
        </w:tc>
        <w:tc>
          <w:tcPr>
            <w:tcW w:w="1843" w:type="dxa"/>
            <w:tcBorders>
              <w:top w:val="nil"/>
            </w:tcBorders>
            <w:vAlign w:val="center"/>
          </w:tcPr>
          <w:p w14:paraId="22663C2E" w14:textId="00BB3983" w:rsidR="3E71FE18" w:rsidRPr="00617370" w:rsidRDefault="3E71FE18" w:rsidP="00A07368">
            <w:pPr>
              <w:pStyle w:val="Tabletext"/>
              <w:jc w:val="center"/>
              <w:cnfStyle w:val="000000000000" w:firstRow="0" w:lastRow="0" w:firstColumn="0" w:lastColumn="0" w:oddVBand="0" w:evenVBand="0" w:oddHBand="0" w:evenHBand="0" w:firstRowFirstColumn="0" w:firstRowLastColumn="0" w:lastRowFirstColumn="0" w:lastRowLastColumn="0"/>
            </w:pPr>
            <w:r w:rsidRPr="00617370">
              <w:t>0.42</w:t>
            </w:r>
          </w:p>
        </w:tc>
        <w:tc>
          <w:tcPr>
            <w:tcW w:w="1843" w:type="dxa"/>
            <w:tcBorders>
              <w:top w:val="nil"/>
            </w:tcBorders>
            <w:vAlign w:val="center"/>
          </w:tcPr>
          <w:p w14:paraId="66F7DA51" w14:textId="31163C8D" w:rsidR="3E71FE18" w:rsidRPr="00617370" w:rsidRDefault="3E71FE18" w:rsidP="00A07368">
            <w:pPr>
              <w:pStyle w:val="Tabletext"/>
              <w:jc w:val="center"/>
              <w:cnfStyle w:val="000000000000" w:firstRow="0" w:lastRow="0" w:firstColumn="0" w:lastColumn="0" w:oddVBand="0" w:evenVBand="0" w:oddHBand="0" w:evenHBand="0" w:firstRowFirstColumn="0" w:firstRowLastColumn="0" w:lastRowFirstColumn="0" w:lastRowLastColumn="0"/>
            </w:pPr>
            <w:r w:rsidRPr="00617370">
              <w:t>0.47</w:t>
            </w:r>
          </w:p>
        </w:tc>
      </w:tr>
    </w:tbl>
    <w:p w14:paraId="39005A43" w14:textId="2CB48067" w:rsidR="00BE167A" w:rsidRPr="00617370" w:rsidRDefault="00D1448C" w:rsidP="00B3153A">
      <w:pPr>
        <w:pStyle w:val="Tabletitle"/>
      </w:pPr>
      <w:bookmarkStart w:id="67" w:name="_Toc163480808"/>
      <w:r w:rsidRPr="00617370">
        <w:t>Table A2</w:t>
      </w:r>
      <w:r w:rsidR="00E65AE9" w:rsidRPr="00617370">
        <w:tab/>
        <w:t>Correlation between ATAR outcomes and year 9 NAPLAN achievement scores</w:t>
      </w:r>
      <w:bookmarkEnd w:id="67"/>
    </w:p>
    <w:tbl>
      <w:tblPr>
        <w:tblStyle w:val="NCVERTable"/>
        <w:tblW w:w="5000" w:type="pct"/>
        <w:tblLook w:val="04A0" w:firstRow="1" w:lastRow="0" w:firstColumn="1" w:lastColumn="0" w:noHBand="0" w:noVBand="1"/>
      </w:tblPr>
      <w:tblGrid>
        <w:gridCol w:w="1986"/>
        <w:gridCol w:w="1473"/>
        <w:gridCol w:w="1474"/>
        <w:gridCol w:w="1474"/>
        <w:gridCol w:w="1474"/>
        <w:gridCol w:w="1474"/>
      </w:tblGrid>
      <w:tr w:rsidR="00BE167A" w:rsidRPr="00617370" w14:paraId="5428327F" w14:textId="77777777" w:rsidTr="00494BC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1" w:type="pct"/>
            <w:shd w:val="clear" w:color="auto" w:fill="auto"/>
            <w:hideMark/>
          </w:tcPr>
          <w:p w14:paraId="2851D4C4" w14:textId="1CFB32C3" w:rsidR="00BE167A" w:rsidRPr="00617370" w:rsidRDefault="00BE167A" w:rsidP="00ED2F6F">
            <w:pPr>
              <w:pStyle w:val="Tablehead1"/>
              <w:jc w:val="center"/>
              <w:rPr>
                <w:b/>
                <w:bCs w:val="0"/>
              </w:rPr>
            </w:pPr>
          </w:p>
        </w:tc>
        <w:tc>
          <w:tcPr>
            <w:tcW w:w="787" w:type="pct"/>
            <w:shd w:val="clear" w:color="auto" w:fill="auto"/>
            <w:vAlign w:val="center"/>
            <w:hideMark/>
          </w:tcPr>
          <w:p w14:paraId="665C2F2E" w14:textId="77777777" w:rsidR="00BE167A" w:rsidRPr="00617370" w:rsidRDefault="00BE167A"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Reading score</w:t>
            </w:r>
          </w:p>
        </w:tc>
        <w:tc>
          <w:tcPr>
            <w:tcW w:w="788" w:type="pct"/>
            <w:shd w:val="clear" w:color="auto" w:fill="auto"/>
            <w:vAlign w:val="center"/>
            <w:hideMark/>
          </w:tcPr>
          <w:p w14:paraId="798AD897" w14:textId="77777777" w:rsidR="00BE167A" w:rsidRPr="00617370" w:rsidRDefault="00BE167A" w:rsidP="00B312EE">
            <w:pPr>
              <w:pStyle w:val="Tablehead1"/>
              <w:ind w:left="227"/>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Numeracy score</w:t>
            </w:r>
          </w:p>
        </w:tc>
        <w:tc>
          <w:tcPr>
            <w:tcW w:w="788" w:type="pct"/>
            <w:shd w:val="clear" w:color="auto" w:fill="auto"/>
            <w:vAlign w:val="center"/>
            <w:hideMark/>
          </w:tcPr>
          <w:p w14:paraId="5EA413BC" w14:textId="77777777" w:rsidR="00BE167A" w:rsidRPr="00617370" w:rsidRDefault="00BE167A"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Grammar and punctuation score</w:t>
            </w:r>
          </w:p>
        </w:tc>
        <w:tc>
          <w:tcPr>
            <w:tcW w:w="788" w:type="pct"/>
            <w:vAlign w:val="center"/>
            <w:hideMark/>
          </w:tcPr>
          <w:p w14:paraId="57960F4D" w14:textId="77777777" w:rsidR="00BE167A" w:rsidRPr="00617370" w:rsidRDefault="00BE167A"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Spelling score</w:t>
            </w:r>
          </w:p>
        </w:tc>
        <w:tc>
          <w:tcPr>
            <w:tcW w:w="788" w:type="pct"/>
            <w:vAlign w:val="center"/>
            <w:hideMark/>
          </w:tcPr>
          <w:p w14:paraId="32D5EE6A" w14:textId="77777777" w:rsidR="00BE167A" w:rsidRPr="00617370" w:rsidRDefault="00BE167A"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Writing score</w:t>
            </w:r>
          </w:p>
        </w:tc>
      </w:tr>
      <w:tr w:rsidR="00BE167A" w:rsidRPr="00617370" w14:paraId="2C651F8E" w14:textId="77777777" w:rsidTr="00494B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single" w:sz="4" w:space="0" w:color="auto"/>
              <w:bottom w:val="nil"/>
            </w:tcBorders>
            <w:shd w:val="clear" w:color="auto" w:fill="auto"/>
            <w:hideMark/>
          </w:tcPr>
          <w:p w14:paraId="252611BF" w14:textId="5B7053D3" w:rsidR="00BE167A" w:rsidRPr="00617370" w:rsidRDefault="00BE167A">
            <w:pPr>
              <w:pStyle w:val="Tabletext"/>
              <w:rPr>
                <w:b w:val="0"/>
                <w:bCs/>
              </w:rPr>
            </w:pPr>
            <w:r w:rsidRPr="00617370">
              <w:rPr>
                <w:b w:val="0"/>
                <w:bCs/>
              </w:rPr>
              <w:t>ATAR recipient</w:t>
            </w:r>
            <w:r w:rsidR="00271AFC" w:rsidRPr="00617370">
              <w:rPr>
                <w:b w:val="0"/>
                <w:bCs/>
              </w:rPr>
              <w:t>s</w:t>
            </w:r>
          </w:p>
        </w:tc>
        <w:tc>
          <w:tcPr>
            <w:tcW w:w="787" w:type="pct"/>
            <w:tcBorders>
              <w:top w:val="single" w:sz="4" w:space="0" w:color="auto"/>
              <w:bottom w:val="nil"/>
            </w:tcBorders>
            <w:shd w:val="clear" w:color="auto" w:fill="auto"/>
            <w:vAlign w:val="center"/>
            <w:hideMark/>
          </w:tcPr>
          <w:p w14:paraId="40839D89" w14:textId="77777777" w:rsidR="00BE167A" w:rsidRPr="00617370" w:rsidRDefault="00BE167A">
            <w:pPr>
              <w:pStyle w:val="Tabletext"/>
              <w:jc w:val="center"/>
              <w:cnfStyle w:val="000000100000" w:firstRow="0" w:lastRow="0" w:firstColumn="0" w:lastColumn="0" w:oddVBand="0" w:evenVBand="0" w:oddHBand="1" w:evenHBand="0" w:firstRowFirstColumn="0" w:firstRowLastColumn="0" w:lastRowFirstColumn="0" w:lastRowLastColumn="0"/>
            </w:pPr>
            <w:r w:rsidRPr="00617370">
              <w:t>0.37</w:t>
            </w:r>
          </w:p>
        </w:tc>
        <w:tc>
          <w:tcPr>
            <w:tcW w:w="788" w:type="pct"/>
            <w:tcBorders>
              <w:top w:val="single" w:sz="4" w:space="0" w:color="auto"/>
              <w:bottom w:val="nil"/>
            </w:tcBorders>
            <w:shd w:val="clear" w:color="auto" w:fill="auto"/>
            <w:vAlign w:val="center"/>
            <w:hideMark/>
          </w:tcPr>
          <w:p w14:paraId="143F5FBF" w14:textId="77777777" w:rsidR="00BE167A" w:rsidRPr="00617370" w:rsidRDefault="00BE167A">
            <w:pPr>
              <w:pStyle w:val="Tabletext"/>
              <w:jc w:val="center"/>
              <w:cnfStyle w:val="000000100000" w:firstRow="0" w:lastRow="0" w:firstColumn="0" w:lastColumn="0" w:oddVBand="0" w:evenVBand="0" w:oddHBand="1" w:evenHBand="0" w:firstRowFirstColumn="0" w:firstRowLastColumn="0" w:lastRowFirstColumn="0" w:lastRowLastColumn="0"/>
            </w:pPr>
            <w:r w:rsidRPr="00617370">
              <w:t>0.35</w:t>
            </w:r>
          </w:p>
        </w:tc>
        <w:tc>
          <w:tcPr>
            <w:tcW w:w="788" w:type="pct"/>
            <w:tcBorders>
              <w:top w:val="single" w:sz="4" w:space="0" w:color="auto"/>
              <w:bottom w:val="nil"/>
            </w:tcBorders>
            <w:shd w:val="clear" w:color="auto" w:fill="auto"/>
            <w:vAlign w:val="center"/>
            <w:hideMark/>
          </w:tcPr>
          <w:p w14:paraId="5E48E718" w14:textId="77777777" w:rsidR="00BE167A" w:rsidRPr="00617370" w:rsidRDefault="00BE167A">
            <w:pPr>
              <w:pStyle w:val="Tabletext"/>
              <w:jc w:val="center"/>
              <w:cnfStyle w:val="000000100000" w:firstRow="0" w:lastRow="0" w:firstColumn="0" w:lastColumn="0" w:oddVBand="0" w:evenVBand="0" w:oddHBand="1" w:evenHBand="0" w:firstRowFirstColumn="0" w:firstRowLastColumn="0" w:lastRowFirstColumn="0" w:lastRowLastColumn="0"/>
            </w:pPr>
            <w:r w:rsidRPr="00617370">
              <w:t>0.33</w:t>
            </w:r>
          </w:p>
        </w:tc>
        <w:tc>
          <w:tcPr>
            <w:tcW w:w="788" w:type="pct"/>
            <w:tcBorders>
              <w:top w:val="single" w:sz="4" w:space="0" w:color="auto"/>
              <w:bottom w:val="nil"/>
            </w:tcBorders>
            <w:shd w:val="clear" w:color="auto" w:fill="auto"/>
            <w:vAlign w:val="center"/>
            <w:hideMark/>
          </w:tcPr>
          <w:p w14:paraId="2DD67337" w14:textId="77777777" w:rsidR="00BE167A" w:rsidRPr="00617370" w:rsidRDefault="00BE167A">
            <w:pPr>
              <w:pStyle w:val="Tabletext"/>
              <w:jc w:val="center"/>
              <w:cnfStyle w:val="000000100000" w:firstRow="0" w:lastRow="0" w:firstColumn="0" w:lastColumn="0" w:oddVBand="0" w:evenVBand="0" w:oddHBand="1" w:evenHBand="0" w:firstRowFirstColumn="0" w:firstRowLastColumn="0" w:lastRowFirstColumn="0" w:lastRowLastColumn="0"/>
            </w:pPr>
            <w:r w:rsidRPr="00617370">
              <w:t>0.30</w:t>
            </w:r>
          </w:p>
        </w:tc>
        <w:tc>
          <w:tcPr>
            <w:tcW w:w="788" w:type="pct"/>
            <w:tcBorders>
              <w:top w:val="single" w:sz="4" w:space="0" w:color="auto"/>
              <w:bottom w:val="nil"/>
            </w:tcBorders>
            <w:shd w:val="clear" w:color="auto" w:fill="auto"/>
            <w:vAlign w:val="center"/>
            <w:hideMark/>
          </w:tcPr>
          <w:p w14:paraId="170EC340" w14:textId="77777777" w:rsidR="00BE167A" w:rsidRPr="00617370" w:rsidRDefault="00BE167A">
            <w:pPr>
              <w:pStyle w:val="Tabletext"/>
              <w:jc w:val="center"/>
              <w:cnfStyle w:val="000000100000" w:firstRow="0" w:lastRow="0" w:firstColumn="0" w:lastColumn="0" w:oddVBand="0" w:evenVBand="0" w:oddHBand="1" w:evenHBand="0" w:firstRowFirstColumn="0" w:firstRowLastColumn="0" w:lastRowFirstColumn="0" w:lastRowLastColumn="0"/>
            </w:pPr>
            <w:r w:rsidRPr="00617370">
              <w:t>0.31</w:t>
            </w:r>
          </w:p>
        </w:tc>
      </w:tr>
      <w:tr w:rsidR="00BE167A" w:rsidRPr="00617370" w14:paraId="59DDC0E4" w14:textId="77777777" w:rsidTr="00494BCD">
        <w:trPr>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single" w:sz="4" w:space="0" w:color="auto"/>
            </w:tcBorders>
            <w:shd w:val="clear" w:color="auto" w:fill="auto"/>
          </w:tcPr>
          <w:p w14:paraId="3E7851FE" w14:textId="7F4CA927" w:rsidR="00BE167A" w:rsidRPr="00617370" w:rsidRDefault="00BE167A">
            <w:pPr>
              <w:pStyle w:val="Tabletext"/>
              <w:rPr>
                <w:b w:val="0"/>
                <w:bCs/>
              </w:rPr>
            </w:pPr>
            <w:r w:rsidRPr="00617370">
              <w:rPr>
                <w:b w:val="0"/>
                <w:bCs/>
                <w:szCs w:val="16"/>
              </w:rPr>
              <w:t>ATAR high achiever</w:t>
            </w:r>
            <w:r w:rsidR="00271AFC" w:rsidRPr="00617370">
              <w:rPr>
                <w:b w:val="0"/>
                <w:bCs/>
                <w:szCs w:val="16"/>
              </w:rPr>
              <w:t>s</w:t>
            </w:r>
          </w:p>
        </w:tc>
        <w:tc>
          <w:tcPr>
            <w:tcW w:w="787" w:type="pct"/>
            <w:tcBorders>
              <w:top w:val="nil"/>
              <w:bottom w:val="single" w:sz="4" w:space="0" w:color="auto"/>
            </w:tcBorders>
            <w:shd w:val="clear" w:color="auto" w:fill="auto"/>
            <w:vAlign w:val="center"/>
          </w:tcPr>
          <w:p w14:paraId="28EE5B16" w14:textId="77777777" w:rsidR="00BE167A" w:rsidRPr="00617370" w:rsidRDefault="00BE167A">
            <w:pPr>
              <w:pStyle w:val="Tabletext"/>
              <w:jc w:val="center"/>
              <w:cnfStyle w:val="000000000000" w:firstRow="0" w:lastRow="0" w:firstColumn="0" w:lastColumn="0" w:oddVBand="0" w:evenVBand="0" w:oddHBand="0" w:evenHBand="0" w:firstRowFirstColumn="0" w:firstRowLastColumn="0" w:lastRowFirstColumn="0" w:lastRowLastColumn="0"/>
            </w:pPr>
            <w:r w:rsidRPr="00617370">
              <w:rPr>
                <w:szCs w:val="16"/>
              </w:rPr>
              <w:t>0.40</w:t>
            </w:r>
          </w:p>
        </w:tc>
        <w:tc>
          <w:tcPr>
            <w:tcW w:w="788" w:type="pct"/>
            <w:tcBorders>
              <w:top w:val="nil"/>
              <w:bottom w:val="single" w:sz="4" w:space="0" w:color="auto"/>
            </w:tcBorders>
            <w:shd w:val="clear" w:color="auto" w:fill="auto"/>
            <w:vAlign w:val="center"/>
          </w:tcPr>
          <w:p w14:paraId="5B291E5A" w14:textId="77777777" w:rsidR="00BE167A" w:rsidRPr="00617370" w:rsidRDefault="00BE167A">
            <w:pPr>
              <w:pStyle w:val="Tabletext"/>
              <w:jc w:val="center"/>
              <w:cnfStyle w:val="000000000000" w:firstRow="0" w:lastRow="0" w:firstColumn="0" w:lastColumn="0" w:oddVBand="0" w:evenVBand="0" w:oddHBand="0" w:evenHBand="0" w:firstRowFirstColumn="0" w:firstRowLastColumn="0" w:lastRowFirstColumn="0" w:lastRowLastColumn="0"/>
            </w:pPr>
            <w:r w:rsidRPr="00617370">
              <w:rPr>
                <w:szCs w:val="16"/>
              </w:rPr>
              <w:t>0.43</w:t>
            </w:r>
          </w:p>
        </w:tc>
        <w:tc>
          <w:tcPr>
            <w:tcW w:w="788" w:type="pct"/>
            <w:tcBorders>
              <w:top w:val="nil"/>
              <w:bottom w:val="single" w:sz="4" w:space="0" w:color="auto"/>
            </w:tcBorders>
            <w:shd w:val="clear" w:color="auto" w:fill="auto"/>
            <w:vAlign w:val="center"/>
          </w:tcPr>
          <w:p w14:paraId="537E47D9" w14:textId="77777777" w:rsidR="00BE167A" w:rsidRPr="00617370" w:rsidRDefault="00BE167A">
            <w:pPr>
              <w:pStyle w:val="Tabletext"/>
              <w:jc w:val="center"/>
              <w:cnfStyle w:val="000000000000" w:firstRow="0" w:lastRow="0" w:firstColumn="0" w:lastColumn="0" w:oddVBand="0" w:evenVBand="0" w:oddHBand="0" w:evenHBand="0" w:firstRowFirstColumn="0" w:firstRowLastColumn="0" w:lastRowFirstColumn="0" w:lastRowLastColumn="0"/>
            </w:pPr>
            <w:r w:rsidRPr="00617370">
              <w:rPr>
                <w:szCs w:val="16"/>
              </w:rPr>
              <w:t>0.39</w:t>
            </w:r>
          </w:p>
        </w:tc>
        <w:tc>
          <w:tcPr>
            <w:tcW w:w="788" w:type="pct"/>
            <w:tcBorders>
              <w:top w:val="nil"/>
              <w:bottom w:val="single" w:sz="4" w:space="0" w:color="auto"/>
            </w:tcBorders>
            <w:shd w:val="clear" w:color="auto" w:fill="auto"/>
            <w:vAlign w:val="center"/>
          </w:tcPr>
          <w:p w14:paraId="2E9731EA" w14:textId="77777777" w:rsidR="00BE167A" w:rsidRPr="00617370" w:rsidRDefault="00BE167A">
            <w:pPr>
              <w:pStyle w:val="Tabletext"/>
              <w:jc w:val="center"/>
              <w:cnfStyle w:val="000000000000" w:firstRow="0" w:lastRow="0" w:firstColumn="0" w:lastColumn="0" w:oddVBand="0" w:evenVBand="0" w:oddHBand="0" w:evenHBand="0" w:firstRowFirstColumn="0" w:firstRowLastColumn="0" w:lastRowFirstColumn="0" w:lastRowLastColumn="0"/>
            </w:pPr>
            <w:r w:rsidRPr="00617370">
              <w:rPr>
                <w:szCs w:val="16"/>
              </w:rPr>
              <w:t>0.32</w:t>
            </w:r>
          </w:p>
        </w:tc>
        <w:tc>
          <w:tcPr>
            <w:tcW w:w="788" w:type="pct"/>
            <w:tcBorders>
              <w:top w:val="nil"/>
              <w:bottom w:val="single" w:sz="4" w:space="0" w:color="auto"/>
            </w:tcBorders>
            <w:shd w:val="clear" w:color="auto" w:fill="auto"/>
            <w:vAlign w:val="center"/>
          </w:tcPr>
          <w:p w14:paraId="7962AEED" w14:textId="77777777" w:rsidR="00BE167A" w:rsidRPr="00617370" w:rsidRDefault="00BE167A">
            <w:pPr>
              <w:pStyle w:val="Tabletext"/>
              <w:jc w:val="center"/>
              <w:cnfStyle w:val="000000000000" w:firstRow="0" w:lastRow="0" w:firstColumn="0" w:lastColumn="0" w:oddVBand="0" w:evenVBand="0" w:oddHBand="0" w:evenHBand="0" w:firstRowFirstColumn="0" w:firstRowLastColumn="0" w:lastRowFirstColumn="0" w:lastRowLastColumn="0"/>
            </w:pPr>
            <w:r w:rsidRPr="00617370">
              <w:rPr>
                <w:szCs w:val="16"/>
              </w:rPr>
              <w:t>0.32</w:t>
            </w:r>
          </w:p>
        </w:tc>
      </w:tr>
    </w:tbl>
    <w:p w14:paraId="02A48C7F" w14:textId="751853C6" w:rsidR="00BE167A" w:rsidRPr="00617370" w:rsidRDefault="7FAA2322" w:rsidP="00B3153A">
      <w:pPr>
        <w:pStyle w:val="Tabletitle"/>
      </w:pPr>
      <w:bookmarkStart w:id="68" w:name="_Toc163480809"/>
      <w:r w:rsidRPr="00617370">
        <w:t xml:space="preserve">Table </w:t>
      </w:r>
      <w:r w:rsidR="009717D4" w:rsidRPr="00617370">
        <w:t>A3</w:t>
      </w:r>
      <w:r w:rsidR="00E65AE9" w:rsidRPr="00617370">
        <w:tab/>
        <w:t>Correlation between</w:t>
      </w:r>
      <w:r w:rsidR="00022E60" w:rsidRPr="00617370">
        <w:t xml:space="preserve"> domains of</w:t>
      </w:r>
      <w:r w:rsidR="00E65AE9" w:rsidRPr="00617370">
        <w:t xml:space="preserve"> </w:t>
      </w:r>
      <w:r w:rsidR="001A1A8B" w:rsidRPr="00617370">
        <w:t>year 9 NAPLAN achievement scores</w:t>
      </w:r>
      <w:bookmarkEnd w:id="68"/>
    </w:p>
    <w:tbl>
      <w:tblPr>
        <w:tblStyle w:val="NCVERTable"/>
        <w:tblW w:w="5000" w:type="pct"/>
        <w:tblLayout w:type="fixed"/>
        <w:tblLook w:val="04A0" w:firstRow="1" w:lastRow="0" w:firstColumn="1" w:lastColumn="0" w:noHBand="0" w:noVBand="1"/>
      </w:tblPr>
      <w:tblGrid>
        <w:gridCol w:w="1986"/>
        <w:gridCol w:w="1473"/>
        <w:gridCol w:w="1474"/>
        <w:gridCol w:w="1474"/>
        <w:gridCol w:w="1474"/>
        <w:gridCol w:w="1474"/>
      </w:tblGrid>
      <w:tr w:rsidR="009548D5" w:rsidRPr="00617370" w14:paraId="638E6AF3" w14:textId="77777777" w:rsidTr="00494BC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1" w:type="pct"/>
            <w:noWrap/>
            <w:hideMark/>
          </w:tcPr>
          <w:p w14:paraId="7125CEB4" w14:textId="05AA2B5D" w:rsidR="009548D5" w:rsidRPr="00617370" w:rsidRDefault="009548D5" w:rsidP="00ED2F6F">
            <w:pPr>
              <w:pStyle w:val="Tablehead1"/>
              <w:jc w:val="center"/>
              <w:rPr>
                <w:b/>
                <w:bCs w:val="0"/>
              </w:rPr>
            </w:pPr>
          </w:p>
        </w:tc>
        <w:tc>
          <w:tcPr>
            <w:tcW w:w="787" w:type="pct"/>
            <w:noWrap/>
            <w:vAlign w:val="center"/>
            <w:hideMark/>
          </w:tcPr>
          <w:p w14:paraId="5277C541" w14:textId="77777777" w:rsidR="009548D5" w:rsidRPr="00617370" w:rsidRDefault="009548D5"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Reading score</w:t>
            </w:r>
          </w:p>
        </w:tc>
        <w:tc>
          <w:tcPr>
            <w:tcW w:w="788" w:type="pct"/>
            <w:noWrap/>
            <w:vAlign w:val="center"/>
            <w:hideMark/>
          </w:tcPr>
          <w:p w14:paraId="57D71DD0" w14:textId="77777777" w:rsidR="009548D5" w:rsidRPr="00617370" w:rsidRDefault="009548D5" w:rsidP="00B312EE">
            <w:pPr>
              <w:pStyle w:val="Tablehead1"/>
              <w:ind w:left="227"/>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Numeracy score</w:t>
            </w:r>
          </w:p>
        </w:tc>
        <w:tc>
          <w:tcPr>
            <w:tcW w:w="788" w:type="pct"/>
            <w:noWrap/>
            <w:vAlign w:val="center"/>
            <w:hideMark/>
          </w:tcPr>
          <w:p w14:paraId="729F8E2D" w14:textId="77777777" w:rsidR="009548D5" w:rsidRPr="00617370" w:rsidRDefault="009548D5"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Grammar and punctuation score</w:t>
            </w:r>
          </w:p>
        </w:tc>
        <w:tc>
          <w:tcPr>
            <w:tcW w:w="788" w:type="pct"/>
            <w:noWrap/>
            <w:vAlign w:val="center"/>
            <w:hideMark/>
          </w:tcPr>
          <w:p w14:paraId="6E1E377A" w14:textId="77777777" w:rsidR="009548D5" w:rsidRPr="00617370" w:rsidRDefault="009548D5"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Spelling score</w:t>
            </w:r>
          </w:p>
        </w:tc>
        <w:tc>
          <w:tcPr>
            <w:tcW w:w="788" w:type="pct"/>
            <w:noWrap/>
            <w:vAlign w:val="center"/>
            <w:hideMark/>
          </w:tcPr>
          <w:p w14:paraId="18432927" w14:textId="77777777" w:rsidR="009548D5" w:rsidRPr="00617370" w:rsidRDefault="009548D5" w:rsidP="00494BCD">
            <w:pPr>
              <w:pStyle w:val="Tablehead1"/>
              <w:jc w:val="left"/>
              <w:cnfStyle w:val="100000000000" w:firstRow="1" w:lastRow="0" w:firstColumn="0" w:lastColumn="0" w:oddVBand="0" w:evenVBand="0" w:oddHBand="0" w:evenHBand="0" w:firstRowFirstColumn="0" w:firstRowLastColumn="0" w:lastRowFirstColumn="0" w:lastRowLastColumn="0"/>
              <w:rPr>
                <w:b/>
                <w:bCs w:val="0"/>
              </w:rPr>
            </w:pPr>
            <w:r w:rsidRPr="00617370">
              <w:rPr>
                <w:b/>
                <w:bCs w:val="0"/>
              </w:rPr>
              <w:t>Writing score</w:t>
            </w:r>
          </w:p>
        </w:tc>
      </w:tr>
      <w:tr w:rsidR="009548D5" w:rsidRPr="00617370" w14:paraId="1D1F4305" w14:textId="77777777" w:rsidTr="00494B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nil"/>
            </w:tcBorders>
            <w:shd w:val="clear" w:color="auto" w:fill="auto"/>
            <w:noWrap/>
            <w:hideMark/>
          </w:tcPr>
          <w:p w14:paraId="22739B90" w14:textId="77777777" w:rsidR="009548D5" w:rsidRPr="00617370" w:rsidRDefault="009548D5">
            <w:pPr>
              <w:pStyle w:val="Tabletext"/>
              <w:rPr>
                <w:b w:val="0"/>
                <w:bCs/>
                <w:szCs w:val="16"/>
              </w:rPr>
            </w:pPr>
            <w:r w:rsidRPr="00617370">
              <w:rPr>
                <w:b w:val="0"/>
                <w:bCs/>
                <w:szCs w:val="16"/>
              </w:rPr>
              <w:t>Reading score</w:t>
            </w:r>
          </w:p>
        </w:tc>
        <w:tc>
          <w:tcPr>
            <w:tcW w:w="787" w:type="pct"/>
            <w:tcBorders>
              <w:top w:val="nil"/>
              <w:bottom w:val="nil"/>
            </w:tcBorders>
            <w:shd w:val="clear" w:color="auto" w:fill="auto"/>
            <w:noWrap/>
            <w:vAlign w:val="center"/>
            <w:hideMark/>
          </w:tcPr>
          <w:p w14:paraId="48239930"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1.00</w:t>
            </w:r>
          </w:p>
        </w:tc>
        <w:tc>
          <w:tcPr>
            <w:tcW w:w="788" w:type="pct"/>
            <w:tcBorders>
              <w:top w:val="nil"/>
              <w:bottom w:val="nil"/>
            </w:tcBorders>
            <w:shd w:val="clear" w:color="auto" w:fill="auto"/>
            <w:noWrap/>
            <w:vAlign w:val="center"/>
            <w:hideMark/>
          </w:tcPr>
          <w:p w14:paraId="18B890EB"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0.68</w:t>
            </w:r>
          </w:p>
        </w:tc>
        <w:tc>
          <w:tcPr>
            <w:tcW w:w="788" w:type="pct"/>
            <w:tcBorders>
              <w:top w:val="nil"/>
              <w:bottom w:val="nil"/>
            </w:tcBorders>
            <w:noWrap/>
            <w:vAlign w:val="center"/>
            <w:hideMark/>
          </w:tcPr>
          <w:p w14:paraId="7B9C4FF9"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0.73</w:t>
            </w:r>
          </w:p>
        </w:tc>
        <w:tc>
          <w:tcPr>
            <w:tcW w:w="788" w:type="pct"/>
            <w:tcBorders>
              <w:top w:val="nil"/>
              <w:bottom w:val="nil"/>
            </w:tcBorders>
            <w:noWrap/>
            <w:vAlign w:val="center"/>
            <w:hideMark/>
          </w:tcPr>
          <w:p w14:paraId="36B50409"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0.63</w:t>
            </w:r>
          </w:p>
        </w:tc>
        <w:tc>
          <w:tcPr>
            <w:tcW w:w="788" w:type="pct"/>
            <w:tcBorders>
              <w:top w:val="nil"/>
              <w:bottom w:val="nil"/>
            </w:tcBorders>
            <w:noWrap/>
            <w:vAlign w:val="center"/>
            <w:hideMark/>
          </w:tcPr>
          <w:p w14:paraId="59689B6B"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0.57</w:t>
            </w:r>
          </w:p>
        </w:tc>
      </w:tr>
      <w:tr w:rsidR="009548D5" w:rsidRPr="00617370" w14:paraId="19FB7493" w14:textId="77777777" w:rsidTr="00494BCD">
        <w:trPr>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nil"/>
            </w:tcBorders>
            <w:noWrap/>
            <w:hideMark/>
          </w:tcPr>
          <w:p w14:paraId="535AE6EA" w14:textId="77777777" w:rsidR="009548D5" w:rsidRPr="00617370" w:rsidRDefault="009548D5">
            <w:pPr>
              <w:pStyle w:val="Tabletext"/>
              <w:rPr>
                <w:b w:val="0"/>
                <w:bCs/>
                <w:szCs w:val="16"/>
              </w:rPr>
            </w:pPr>
            <w:r w:rsidRPr="00617370">
              <w:rPr>
                <w:b w:val="0"/>
                <w:bCs/>
                <w:szCs w:val="16"/>
              </w:rPr>
              <w:t>Numeracy score</w:t>
            </w:r>
          </w:p>
        </w:tc>
        <w:tc>
          <w:tcPr>
            <w:tcW w:w="787" w:type="pct"/>
            <w:tcBorders>
              <w:top w:val="nil"/>
              <w:bottom w:val="nil"/>
            </w:tcBorders>
            <w:noWrap/>
            <w:vAlign w:val="center"/>
          </w:tcPr>
          <w:p w14:paraId="61597F84" w14:textId="2E6855C2" w:rsidR="009548D5" w:rsidRPr="00617370" w:rsidRDefault="00E50CCA">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w:t>
            </w:r>
          </w:p>
        </w:tc>
        <w:tc>
          <w:tcPr>
            <w:tcW w:w="788" w:type="pct"/>
            <w:tcBorders>
              <w:top w:val="nil"/>
              <w:bottom w:val="nil"/>
            </w:tcBorders>
            <w:noWrap/>
            <w:vAlign w:val="center"/>
            <w:hideMark/>
          </w:tcPr>
          <w:p w14:paraId="417DC2FE" w14:textId="77777777" w:rsidR="009548D5" w:rsidRPr="00617370" w:rsidRDefault="009548D5">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1.00</w:t>
            </w:r>
          </w:p>
        </w:tc>
        <w:tc>
          <w:tcPr>
            <w:tcW w:w="788" w:type="pct"/>
            <w:tcBorders>
              <w:top w:val="nil"/>
              <w:bottom w:val="nil"/>
            </w:tcBorders>
            <w:noWrap/>
            <w:vAlign w:val="center"/>
            <w:hideMark/>
          </w:tcPr>
          <w:p w14:paraId="10AE7486" w14:textId="77777777" w:rsidR="009548D5" w:rsidRPr="00617370" w:rsidRDefault="009548D5">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0.67</w:t>
            </w:r>
          </w:p>
        </w:tc>
        <w:tc>
          <w:tcPr>
            <w:tcW w:w="788" w:type="pct"/>
            <w:tcBorders>
              <w:top w:val="nil"/>
              <w:bottom w:val="nil"/>
            </w:tcBorders>
            <w:noWrap/>
            <w:vAlign w:val="center"/>
            <w:hideMark/>
          </w:tcPr>
          <w:p w14:paraId="0FB901E3" w14:textId="77777777" w:rsidR="009548D5" w:rsidRPr="00617370" w:rsidRDefault="009548D5">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0.55</w:t>
            </w:r>
          </w:p>
        </w:tc>
        <w:tc>
          <w:tcPr>
            <w:tcW w:w="788" w:type="pct"/>
            <w:tcBorders>
              <w:top w:val="nil"/>
              <w:bottom w:val="nil"/>
            </w:tcBorders>
            <w:noWrap/>
            <w:vAlign w:val="center"/>
            <w:hideMark/>
          </w:tcPr>
          <w:p w14:paraId="478A26B3" w14:textId="77777777" w:rsidR="009548D5" w:rsidRPr="00617370" w:rsidRDefault="009548D5">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0.49</w:t>
            </w:r>
          </w:p>
        </w:tc>
      </w:tr>
      <w:tr w:rsidR="009548D5" w:rsidRPr="00617370" w14:paraId="725CC5D1" w14:textId="77777777" w:rsidTr="00494B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nil"/>
            </w:tcBorders>
            <w:noWrap/>
            <w:hideMark/>
          </w:tcPr>
          <w:p w14:paraId="5EB3F32F" w14:textId="77777777" w:rsidR="009548D5" w:rsidRPr="00617370" w:rsidRDefault="009548D5">
            <w:pPr>
              <w:pStyle w:val="Tabletext"/>
              <w:jc w:val="left"/>
              <w:rPr>
                <w:b w:val="0"/>
                <w:bCs/>
                <w:szCs w:val="16"/>
              </w:rPr>
            </w:pPr>
            <w:r w:rsidRPr="00617370">
              <w:rPr>
                <w:b w:val="0"/>
                <w:bCs/>
                <w:szCs w:val="16"/>
              </w:rPr>
              <w:t>Grammar and punctuation score</w:t>
            </w:r>
          </w:p>
        </w:tc>
        <w:tc>
          <w:tcPr>
            <w:tcW w:w="787" w:type="pct"/>
            <w:tcBorders>
              <w:top w:val="nil"/>
              <w:bottom w:val="nil"/>
            </w:tcBorders>
            <w:noWrap/>
            <w:vAlign w:val="center"/>
          </w:tcPr>
          <w:p w14:paraId="38852C5D" w14:textId="73AEB33D" w:rsidR="009548D5" w:rsidRPr="00617370" w:rsidRDefault="00E50CCA">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w:t>
            </w:r>
          </w:p>
        </w:tc>
        <w:tc>
          <w:tcPr>
            <w:tcW w:w="788" w:type="pct"/>
            <w:tcBorders>
              <w:top w:val="nil"/>
              <w:bottom w:val="nil"/>
            </w:tcBorders>
            <w:noWrap/>
            <w:vAlign w:val="center"/>
          </w:tcPr>
          <w:p w14:paraId="6803C0E7" w14:textId="101F1B1B" w:rsidR="009548D5" w:rsidRPr="00617370" w:rsidRDefault="00E50CCA">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w:t>
            </w:r>
          </w:p>
        </w:tc>
        <w:tc>
          <w:tcPr>
            <w:tcW w:w="788" w:type="pct"/>
            <w:tcBorders>
              <w:top w:val="nil"/>
              <w:bottom w:val="nil"/>
            </w:tcBorders>
            <w:noWrap/>
            <w:vAlign w:val="center"/>
            <w:hideMark/>
          </w:tcPr>
          <w:p w14:paraId="730C44F1"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1.00</w:t>
            </w:r>
          </w:p>
        </w:tc>
        <w:tc>
          <w:tcPr>
            <w:tcW w:w="788" w:type="pct"/>
            <w:tcBorders>
              <w:top w:val="nil"/>
              <w:bottom w:val="nil"/>
            </w:tcBorders>
            <w:noWrap/>
            <w:vAlign w:val="center"/>
            <w:hideMark/>
          </w:tcPr>
          <w:p w14:paraId="38BDC863"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0.64</w:t>
            </w:r>
          </w:p>
        </w:tc>
        <w:tc>
          <w:tcPr>
            <w:tcW w:w="788" w:type="pct"/>
            <w:tcBorders>
              <w:top w:val="nil"/>
              <w:bottom w:val="nil"/>
            </w:tcBorders>
            <w:noWrap/>
            <w:vAlign w:val="center"/>
            <w:hideMark/>
          </w:tcPr>
          <w:p w14:paraId="63BD5B19"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0.57</w:t>
            </w:r>
          </w:p>
        </w:tc>
      </w:tr>
      <w:tr w:rsidR="009548D5" w:rsidRPr="00617370" w14:paraId="61D1665B" w14:textId="77777777" w:rsidTr="00494BCD">
        <w:trPr>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nil"/>
            </w:tcBorders>
            <w:noWrap/>
            <w:hideMark/>
          </w:tcPr>
          <w:p w14:paraId="6C1DC6CE" w14:textId="77777777" w:rsidR="009548D5" w:rsidRPr="00617370" w:rsidRDefault="009548D5">
            <w:pPr>
              <w:pStyle w:val="Tabletext"/>
              <w:rPr>
                <w:b w:val="0"/>
                <w:bCs/>
                <w:szCs w:val="16"/>
              </w:rPr>
            </w:pPr>
            <w:r w:rsidRPr="00617370">
              <w:rPr>
                <w:b w:val="0"/>
                <w:bCs/>
                <w:szCs w:val="16"/>
              </w:rPr>
              <w:t>Spelling score</w:t>
            </w:r>
          </w:p>
        </w:tc>
        <w:tc>
          <w:tcPr>
            <w:tcW w:w="787" w:type="pct"/>
            <w:tcBorders>
              <w:top w:val="nil"/>
              <w:bottom w:val="nil"/>
            </w:tcBorders>
            <w:noWrap/>
            <w:vAlign w:val="center"/>
          </w:tcPr>
          <w:p w14:paraId="4D60AB9F" w14:textId="145F9CAC" w:rsidR="009548D5" w:rsidRPr="00617370" w:rsidRDefault="00E50CCA">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w:t>
            </w:r>
          </w:p>
        </w:tc>
        <w:tc>
          <w:tcPr>
            <w:tcW w:w="788" w:type="pct"/>
            <w:tcBorders>
              <w:top w:val="nil"/>
              <w:bottom w:val="nil"/>
            </w:tcBorders>
            <w:noWrap/>
            <w:vAlign w:val="center"/>
          </w:tcPr>
          <w:p w14:paraId="10A4C410" w14:textId="330A3F5D" w:rsidR="009548D5" w:rsidRPr="00617370" w:rsidRDefault="00E50CCA">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w:t>
            </w:r>
          </w:p>
        </w:tc>
        <w:tc>
          <w:tcPr>
            <w:tcW w:w="788" w:type="pct"/>
            <w:tcBorders>
              <w:top w:val="nil"/>
              <w:bottom w:val="nil"/>
            </w:tcBorders>
            <w:noWrap/>
            <w:vAlign w:val="center"/>
          </w:tcPr>
          <w:p w14:paraId="1C02505D" w14:textId="2B2D9433" w:rsidR="009548D5" w:rsidRPr="00617370" w:rsidRDefault="00E50CCA">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w:t>
            </w:r>
          </w:p>
        </w:tc>
        <w:tc>
          <w:tcPr>
            <w:tcW w:w="788" w:type="pct"/>
            <w:tcBorders>
              <w:top w:val="nil"/>
              <w:bottom w:val="nil"/>
            </w:tcBorders>
            <w:noWrap/>
            <w:vAlign w:val="center"/>
            <w:hideMark/>
          </w:tcPr>
          <w:p w14:paraId="1FD1BC41" w14:textId="77777777" w:rsidR="009548D5" w:rsidRPr="00617370" w:rsidRDefault="009548D5">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1.00</w:t>
            </w:r>
          </w:p>
        </w:tc>
        <w:tc>
          <w:tcPr>
            <w:tcW w:w="788" w:type="pct"/>
            <w:tcBorders>
              <w:top w:val="nil"/>
              <w:bottom w:val="nil"/>
            </w:tcBorders>
            <w:noWrap/>
            <w:vAlign w:val="center"/>
            <w:hideMark/>
          </w:tcPr>
          <w:p w14:paraId="4C2FD37E" w14:textId="77777777" w:rsidR="009548D5" w:rsidRPr="00617370" w:rsidRDefault="009548D5">
            <w:pPr>
              <w:pStyle w:val="Tabletext"/>
              <w:jc w:val="center"/>
              <w:cnfStyle w:val="000000000000" w:firstRow="0" w:lastRow="0" w:firstColumn="0" w:lastColumn="0" w:oddVBand="0" w:evenVBand="0" w:oddHBand="0" w:evenHBand="0" w:firstRowFirstColumn="0" w:firstRowLastColumn="0" w:lastRowFirstColumn="0" w:lastRowLastColumn="0"/>
              <w:rPr>
                <w:szCs w:val="16"/>
              </w:rPr>
            </w:pPr>
            <w:r w:rsidRPr="00617370">
              <w:rPr>
                <w:szCs w:val="16"/>
              </w:rPr>
              <w:t>0.54</w:t>
            </w:r>
          </w:p>
        </w:tc>
      </w:tr>
      <w:tr w:rsidR="009548D5" w:rsidRPr="00617370" w14:paraId="1A1B7D71" w14:textId="77777777" w:rsidTr="00494B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single" w:sz="4" w:space="0" w:color="auto"/>
            </w:tcBorders>
            <w:noWrap/>
            <w:hideMark/>
          </w:tcPr>
          <w:p w14:paraId="3950AC3E" w14:textId="77777777" w:rsidR="009548D5" w:rsidRPr="00617370" w:rsidRDefault="009548D5">
            <w:pPr>
              <w:pStyle w:val="Tabletext"/>
              <w:rPr>
                <w:b w:val="0"/>
                <w:bCs/>
                <w:szCs w:val="16"/>
              </w:rPr>
            </w:pPr>
            <w:r w:rsidRPr="00617370">
              <w:rPr>
                <w:b w:val="0"/>
                <w:bCs/>
                <w:szCs w:val="16"/>
              </w:rPr>
              <w:t>Writing score</w:t>
            </w:r>
          </w:p>
        </w:tc>
        <w:tc>
          <w:tcPr>
            <w:tcW w:w="787" w:type="pct"/>
            <w:tcBorders>
              <w:top w:val="nil"/>
              <w:bottom w:val="single" w:sz="4" w:space="0" w:color="auto"/>
            </w:tcBorders>
            <w:noWrap/>
            <w:vAlign w:val="center"/>
          </w:tcPr>
          <w:p w14:paraId="66EC91AD" w14:textId="34405B2E" w:rsidR="009548D5" w:rsidRPr="00617370" w:rsidRDefault="00E50CCA">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w:t>
            </w:r>
          </w:p>
        </w:tc>
        <w:tc>
          <w:tcPr>
            <w:tcW w:w="788" w:type="pct"/>
            <w:tcBorders>
              <w:top w:val="nil"/>
              <w:bottom w:val="single" w:sz="4" w:space="0" w:color="auto"/>
            </w:tcBorders>
            <w:noWrap/>
            <w:vAlign w:val="center"/>
          </w:tcPr>
          <w:p w14:paraId="1C9D7ACF" w14:textId="71A0789F" w:rsidR="009548D5" w:rsidRPr="00617370" w:rsidRDefault="00E50CCA">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w:t>
            </w:r>
          </w:p>
        </w:tc>
        <w:tc>
          <w:tcPr>
            <w:tcW w:w="788" w:type="pct"/>
            <w:tcBorders>
              <w:top w:val="nil"/>
              <w:bottom w:val="single" w:sz="4" w:space="0" w:color="auto"/>
            </w:tcBorders>
            <w:noWrap/>
            <w:vAlign w:val="center"/>
          </w:tcPr>
          <w:p w14:paraId="607D0C52" w14:textId="72D85E24" w:rsidR="009548D5" w:rsidRPr="00617370" w:rsidRDefault="00E50CCA">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w:t>
            </w:r>
          </w:p>
        </w:tc>
        <w:tc>
          <w:tcPr>
            <w:tcW w:w="788" w:type="pct"/>
            <w:tcBorders>
              <w:top w:val="nil"/>
              <w:bottom w:val="single" w:sz="4" w:space="0" w:color="auto"/>
            </w:tcBorders>
            <w:noWrap/>
            <w:vAlign w:val="center"/>
            <w:hideMark/>
          </w:tcPr>
          <w:p w14:paraId="384E9DAD" w14:textId="0E9B31F6" w:rsidR="009548D5" w:rsidRPr="00617370" w:rsidRDefault="00E50CCA">
            <w:pPr>
              <w:pStyle w:val="Tabletext"/>
              <w:jc w:val="center"/>
              <w:cnfStyle w:val="000000100000" w:firstRow="0" w:lastRow="0" w:firstColumn="0" w:lastColumn="0" w:oddVBand="0" w:evenVBand="0" w:oddHBand="1" w:evenHBand="0" w:firstRowFirstColumn="0" w:firstRowLastColumn="0" w:lastRowFirstColumn="0" w:lastRowLastColumn="0"/>
              <w:rPr>
                <w:szCs w:val="16"/>
              </w:rPr>
            </w:pPr>
            <w:r w:rsidRPr="00617370">
              <w:rPr>
                <w:szCs w:val="16"/>
              </w:rPr>
              <w:t>-</w:t>
            </w:r>
          </w:p>
        </w:tc>
        <w:tc>
          <w:tcPr>
            <w:tcW w:w="788" w:type="pct"/>
            <w:tcBorders>
              <w:top w:val="nil"/>
              <w:bottom w:val="single" w:sz="4" w:space="0" w:color="auto"/>
            </w:tcBorders>
            <w:noWrap/>
            <w:vAlign w:val="center"/>
            <w:hideMark/>
          </w:tcPr>
          <w:p w14:paraId="3B03C14D" w14:textId="77777777" w:rsidR="009548D5" w:rsidRPr="00617370" w:rsidRDefault="009548D5">
            <w:pPr>
              <w:pStyle w:val="Tabletext"/>
              <w:jc w:val="center"/>
              <w:cnfStyle w:val="000000100000" w:firstRow="0" w:lastRow="0" w:firstColumn="0" w:lastColumn="0" w:oddVBand="0" w:evenVBand="0" w:oddHBand="1" w:evenHBand="0" w:firstRowFirstColumn="0" w:firstRowLastColumn="0" w:lastRowFirstColumn="0" w:lastRowLastColumn="0"/>
            </w:pPr>
            <w:r w:rsidRPr="00617370">
              <w:t>1.00</w:t>
            </w:r>
          </w:p>
        </w:tc>
      </w:tr>
    </w:tbl>
    <w:p w14:paraId="670B8DF6" w14:textId="2DD43164" w:rsidR="00A62C25" w:rsidRPr="00617370" w:rsidRDefault="00A62C25" w:rsidP="00ED2F6F">
      <w:pPr>
        <w:pStyle w:val="Text"/>
      </w:pPr>
    </w:p>
    <w:p w14:paraId="40779CA6" w14:textId="77777777" w:rsidR="00A62C25" w:rsidRPr="00617370" w:rsidRDefault="00A62C25">
      <w:pPr>
        <w:spacing w:before="0" w:line="240" w:lineRule="auto"/>
      </w:pPr>
      <w:r w:rsidRPr="00617370">
        <w:br w:type="page"/>
      </w:r>
    </w:p>
    <w:p w14:paraId="3EE3377B" w14:textId="321FA2F2" w:rsidR="00093258" w:rsidRPr="00617370" w:rsidRDefault="00093258" w:rsidP="00A62C25">
      <w:pPr>
        <w:pStyle w:val="Text"/>
      </w:pPr>
    </w:p>
    <w:p w14:paraId="73D66E72" w14:textId="77777777" w:rsidR="008D39D6" w:rsidRPr="00617370" w:rsidRDefault="008D39D6" w:rsidP="008D39D6"/>
    <w:p w14:paraId="41D0B1FD" w14:textId="77777777" w:rsidR="008D39D6" w:rsidRPr="00617370" w:rsidRDefault="008D39D6" w:rsidP="008D39D6"/>
    <w:p w14:paraId="547EC2A3" w14:textId="7D81ADE6" w:rsidR="008D39D6" w:rsidRPr="008D39D6" w:rsidRDefault="00E83F1A" w:rsidP="008D39D6">
      <w:r w:rsidRPr="00617370">
        <w:rPr>
          <w:noProof/>
        </w:rPr>
        <w:drawing>
          <wp:anchor distT="0" distB="0" distL="114300" distR="114300" simplePos="0" relativeHeight="251662348" behindDoc="0" locked="0" layoutInCell="1" allowOverlap="1" wp14:anchorId="10D1A370" wp14:editId="10E8007C">
            <wp:simplePos x="0" y="0"/>
            <wp:positionH relativeFrom="page">
              <wp:posOffset>552450</wp:posOffset>
            </wp:positionH>
            <wp:positionV relativeFrom="page">
              <wp:posOffset>9982200</wp:posOffset>
            </wp:positionV>
            <wp:extent cx="6591300" cy="492760"/>
            <wp:effectExtent l="0" t="0" r="0" b="2540"/>
            <wp:wrapSquare wrapText="bothSides"/>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pic:cNvPicPr>
                      <a:picLocks noChangeAspect="1"/>
                    </pic:cNvPicPr>
                  </pic:nvPicPr>
                  <pic:blipFill>
                    <a:blip r:embed="rId56">
                      <a:extLst>
                        <a:ext uri="{28A0092B-C50C-407E-A947-70E740481C1C}">
                          <a14:useLocalDpi xmlns:a14="http://schemas.microsoft.com/office/drawing/2010/main" val="0"/>
                        </a:ext>
                      </a:extLst>
                    </a:blip>
                    <a:srcRect l="2047" r="2047"/>
                    <a:stretch>
                      <a:fillRect/>
                    </a:stretch>
                  </pic:blipFill>
                  <pic:spPr bwMode="auto">
                    <a:xfrm>
                      <a:off x="0" y="0"/>
                      <a:ext cx="659130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9CF" w:rsidRPr="00617370">
        <w:rPr>
          <w:rFonts w:ascii="Times New Roman" w:hAnsi="Times New Roman"/>
          <w:noProof/>
          <w:sz w:val="24"/>
          <w:szCs w:val="24"/>
          <w:lang w:eastAsia="en-AU"/>
        </w:rPr>
        <w:drawing>
          <wp:anchor distT="0" distB="0" distL="114300" distR="114300" simplePos="0" relativeHeight="251660300" behindDoc="0" locked="0" layoutInCell="1" allowOverlap="1" wp14:anchorId="22B8532E" wp14:editId="0E694BA7">
            <wp:simplePos x="0" y="0"/>
            <wp:positionH relativeFrom="column">
              <wp:posOffset>53340</wp:posOffset>
            </wp:positionH>
            <wp:positionV relativeFrom="paragraph">
              <wp:posOffset>6125845</wp:posOffset>
            </wp:positionV>
            <wp:extent cx="2276475" cy="486410"/>
            <wp:effectExtent l="0" t="0" r="9525" b="8890"/>
            <wp:wrapNone/>
            <wp:docPr id="1212308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76475" cy="486410"/>
                    </a:xfrm>
                    <a:prstGeom prst="rect">
                      <a:avLst/>
                    </a:prstGeom>
                    <a:noFill/>
                  </pic:spPr>
                </pic:pic>
              </a:graphicData>
            </a:graphic>
            <wp14:sizeRelH relativeFrom="page">
              <wp14:pctWidth>0</wp14:pctWidth>
            </wp14:sizeRelH>
            <wp14:sizeRelV relativeFrom="page">
              <wp14:pctHeight>0</wp14:pctHeight>
            </wp14:sizeRelV>
          </wp:anchor>
        </w:drawing>
      </w:r>
      <w:r w:rsidR="004439CF" w:rsidRPr="00617370">
        <w:rPr>
          <w:rFonts w:ascii="Times New Roman" w:hAnsi="Times New Roman"/>
          <w:noProof/>
          <w:sz w:val="24"/>
          <w:szCs w:val="24"/>
          <w:lang w:eastAsia="en-AU"/>
        </w:rPr>
        <mc:AlternateContent>
          <mc:Choice Requires="wps">
            <w:drawing>
              <wp:anchor distT="0" distB="0" distL="114300" distR="114300" simplePos="0" relativeHeight="251661324" behindDoc="0" locked="0" layoutInCell="1" allowOverlap="1" wp14:anchorId="145BD3DF" wp14:editId="0814615E">
                <wp:simplePos x="0" y="0"/>
                <wp:positionH relativeFrom="column">
                  <wp:posOffset>-76835</wp:posOffset>
                </wp:positionH>
                <wp:positionV relativeFrom="paragraph">
                  <wp:posOffset>6590665</wp:posOffset>
                </wp:positionV>
                <wp:extent cx="5143500" cy="1924050"/>
                <wp:effectExtent l="0" t="0" r="0" b="0"/>
                <wp:wrapNone/>
                <wp:docPr id="14509245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924050"/>
                        </a:xfrm>
                        <a:prstGeom prst="rect">
                          <a:avLst/>
                        </a:prstGeom>
                        <a:noFill/>
                        <a:ln w="6350">
                          <a:noFill/>
                        </a:ln>
                        <a:effectLst/>
                      </wps:spPr>
                      <wps:txbx>
                        <w:txbxContent>
                          <w:p w14:paraId="4C8FE6BA" w14:textId="77777777" w:rsidR="008D39D6" w:rsidRDefault="008D39D6" w:rsidP="008D39D6">
                            <w:pPr>
                              <w:rPr>
                                <w:rFonts w:ascii="Arial" w:hAnsi="Arial" w:cs="Arial"/>
                                <w:b/>
                              </w:rPr>
                            </w:pPr>
                            <w:r>
                              <w:rPr>
                                <w:rFonts w:ascii="Arial" w:hAnsi="Arial" w:cs="Arial"/>
                                <w:b/>
                              </w:rPr>
                              <w:t>National Centre for Vocational Education Research</w:t>
                            </w:r>
                          </w:p>
                          <w:p w14:paraId="4793569F" w14:textId="77777777" w:rsidR="008D39D6" w:rsidRDefault="008D39D6" w:rsidP="008D39D6">
                            <w:pPr>
                              <w:pStyle w:val="Imprint"/>
                              <w:spacing w:before="80"/>
                              <w:rPr>
                                <w:rFonts w:ascii="Arial" w:hAnsi="Arial" w:cs="Arial"/>
                                <w:color w:val="000000"/>
                              </w:rPr>
                            </w:pPr>
                            <w:r>
                              <w:rPr>
                                <w:rFonts w:ascii="Arial" w:hAnsi="Arial" w:cs="Arial"/>
                                <w:color w:val="000000"/>
                              </w:rPr>
                              <w:t>Level 5, 60 Light Square, Adelaide, SA 5000</w:t>
                            </w:r>
                            <w:r>
                              <w:rPr>
                                <w:rFonts w:ascii="Arial" w:hAnsi="Arial" w:cs="Arial"/>
                                <w:color w:val="000000"/>
                              </w:rPr>
                              <w:br/>
                              <w:t>PO Box 8288 Station Arcade, Adelaide SA 5000, Australia</w:t>
                            </w:r>
                          </w:p>
                          <w:p w14:paraId="7A6EDE8F" w14:textId="77777777" w:rsidR="008D39D6" w:rsidRDefault="008D39D6" w:rsidP="008D39D6">
                            <w:pPr>
                              <w:pStyle w:val="Imprint"/>
                              <w:tabs>
                                <w:tab w:val="left" w:pos="3402"/>
                              </w:tabs>
                              <w:spacing w:after="120"/>
                              <w:rPr>
                                <w:rFonts w:ascii="Arial" w:hAnsi="Arial" w:cs="Arial"/>
                              </w:rPr>
                            </w:pPr>
                            <w:r>
                              <w:rPr>
                                <w:rFonts w:ascii="Arial" w:hAnsi="Arial" w:cs="Arial"/>
                                <w:b/>
                              </w:rPr>
                              <w:t>Phone</w:t>
                            </w:r>
                            <w:r>
                              <w:rPr>
                                <w:rFonts w:ascii="Arial" w:hAnsi="Arial" w:cs="Arial"/>
                              </w:rPr>
                              <w:t xml:space="preserve"> +61 8 8230 8400  </w:t>
                            </w:r>
                            <w:r>
                              <w:rPr>
                                <w:rFonts w:ascii="Arial" w:hAnsi="Arial" w:cs="Arial"/>
                                <w:b/>
                              </w:rPr>
                              <w:t>Email</w:t>
                            </w:r>
                            <w:r>
                              <w:rPr>
                                <w:rFonts w:ascii="Arial" w:hAnsi="Arial" w:cs="Arial"/>
                              </w:rPr>
                              <w:t xml:space="preserve"> </w:t>
                            </w:r>
                            <w:hyperlink r:id="rId58" w:history="1">
                              <w:r>
                                <w:rPr>
                                  <w:rStyle w:val="Hyperlink"/>
                                  <w:rFonts w:ascii="Arial" w:hAnsi="Arial" w:cs="Arial"/>
                                  <w:szCs w:val="16"/>
                                </w:rPr>
                                <w:t>ncver@ncver.edu.au</w:t>
                              </w:r>
                            </w:hyperlink>
                            <w:r>
                              <w:rPr>
                                <w:rFonts w:ascii="Arial" w:hAnsi="Arial" w:cs="Arial"/>
                                <w:szCs w:val="16"/>
                              </w:rPr>
                              <w:t xml:space="preserve">  </w:t>
                            </w:r>
                            <w:r>
                              <w:rPr>
                                <w:rFonts w:ascii="Arial" w:hAnsi="Arial" w:cs="Arial"/>
                                <w:szCs w:val="16"/>
                              </w:rPr>
                              <w:br/>
                            </w:r>
                            <w:r>
                              <w:rPr>
                                <w:rFonts w:ascii="Arial" w:hAnsi="Arial" w:cs="Arial"/>
                                <w:b/>
                                <w:szCs w:val="16"/>
                              </w:rPr>
                              <w:t>Web</w:t>
                            </w:r>
                            <w:r>
                              <w:rPr>
                                <w:rFonts w:ascii="Arial" w:hAnsi="Arial" w:cs="Arial"/>
                                <w:szCs w:val="16"/>
                              </w:rPr>
                              <w:t xml:space="preserve"> &lt;https://www.ncver.edu.au&gt;  &lt;</w:t>
                            </w:r>
                            <w:hyperlink r:id="rId59" w:history="1">
                              <w:r>
                                <w:rPr>
                                  <w:rStyle w:val="Hyperlink"/>
                                  <w:rFonts w:ascii="Arial" w:hAnsi="Arial" w:cs="Arial"/>
                                  <w:szCs w:val="16"/>
                                </w:rPr>
                                <w:t>http://www.lsay.edu.au</w:t>
                              </w:r>
                            </w:hyperlink>
                            <w:r>
                              <w:rPr>
                                <w:rFonts w:ascii="Arial" w:hAnsi="Arial" w:cs="Arial"/>
                                <w:szCs w:val="16"/>
                              </w:rPr>
                              <w:t>&gt;</w:t>
                            </w:r>
                          </w:p>
                          <w:p w14:paraId="0A5D1B20" w14:textId="3BBB48DB" w:rsidR="008D39D6" w:rsidRPr="008D39D6" w:rsidRDefault="008D39D6" w:rsidP="008D39D6">
                            <w:pPr>
                              <w:pStyle w:val="Imprint"/>
                              <w:tabs>
                                <w:tab w:val="left" w:pos="993"/>
                                <w:tab w:val="left" w:pos="3686"/>
                              </w:tabs>
                              <w:rPr>
                                <w:szCs w:val="16"/>
                              </w:rPr>
                            </w:pPr>
                            <w:r>
                              <w:rPr>
                                <w:rFonts w:ascii="Arial" w:hAnsi="Arial" w:cs="Arial"/>
                                <w:b/>
                              </w:rPr>
                              <w:t>Follow us</w:t>
                            </w:r>
                            <w:r w:rsidRPr="008D39D6">
                              <w:rPr>
                                <w:rFonts w:ascii="Arial" w:hAnsi="Arial" w:cs="Arial"/>
                                <w:b/>
                                <w:szCs w:val="16"/>
                              </w:rPr>
                              <w:t>:</w:t>
                            </w:r>
                            <w:r w:rsidRPr="008D39D6">
                              <w:rPr>
                                <w:rFonts w:ascii="Arial" w:hAnsi="Arial" w:cs="Arial"/>
                                <w:szCs w:val="16"/>
                              </w:rPr>
                              <w:t xml:space="preserve">     </w:t>
                            </w:r>
                            <w:r w:rsidRPr="008D39D6">
                              <w:rPr>
                                <w:rFonts w:ascii="Times New Roman" w:hAnsi="Times New Roman"/>
                                <w:noProof/>
                                <w:szCs w:val="16"/>
                                <w:lang w:eastAsia="en-AU"/>
                              </w:rPr>
                              <w:drawing>
                                <wp:inline distT="0" distB="0" distL="0" distR="0" wp14:anchorId="21DBC26B" wp14:editId="0CEB58D3">
                                  <wp:extent cx="114300" cy="123825"/>
                                  <wp:effectExtent l="0" t="0" r="0" b="9525"/>
                                  <wp:docPr id="179100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344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8D39D6">
                              <w:rPr>
                                <w:szCs w:val="16"/>
                              </w:rPr>
                              <w:t xml:space="preserve">  &lt;</w:t>
                            </w:r>
                            <w:hyperlink r:id="rId60" w:history="1">
                              <w:r w:rsidRPr="008D39D6">
                                <w:rPr>
                                  <w:rStyle w:val="Hyperlink"/>
                                  <w:sz w:val="16"/>
                                  <w:szCs w:val="16"/>
                                </w:rPr>
                                <w:t>https://x.com/ncver</w:t>
                              </w:r>
                            </w:hyperlink>
                            <w:r w:rsidRPr="008D39D6">
                              <w:rPr>
                                <w:szCs w:val="16"/>
                              </w:rPr>
                              <w:t xml:space="preserve">&gt;  </w:t>
                            </w:r>
                          </w:p>
                          <w:p w14:paraId="30E641D0" w14:textId="04CED594" w:rsidR="008D39D6" w:rsidRPr="008D39D6" w:rsidRDefault="008D39D6" w:rsidP="008D39D6">
                            <w:pPr>
                              <w:pStyle w:val="Imprint"/>
                              <w:tabs>
                                <w:tab w:val="left" w:pos="993"/>
                                <w:tab w:val="left" w:pos="3686"/>
                              </w:tabs>
                              <w:spacing w:before="40"/>
                              <w:rPr>
                                <w:szCs w:val="16"/>
                              </w:rPr>
                            </w:pPr>
                            <w:r w:rsidRPr="008D39D6">
                              <w:rPr>
                                <w:szCs w:val="16"/>
                              </w:rPr>
                              <w:tab/>
                            </w:r>
                            <w:r w:rsidRPr="008D39D6">
                              <w:rPr>
                                <w:rFonts w:ascii="Times New Roman" w:hAnsi="Times New Roman"/>
                                <w:noProof/>
                                <w:szCs w:val="16"/>
                                <w:lang w:eastAsia="en-AU"/>
                              </w:rPr>
                              <w:drawing>
                                <wp:inline distT="0" distB="0" distL="0" distR="0" wp14:anchorId="06BE4363" wp14:editId="5FC0DC43">
                                  <wp:extent cx="123825" cy="123825"/>
                                  <wp:effectExtent l="0" t="0" r="9525" b="9525"/>
                                  <wp:docPr id="746877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6251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39D6">
                              <w:rPr>
                                <w:szCs w:val="16"/>
                              </w:rPr>
                              <w:t xml:space="preserve">  &lt;</w:t>
                            </w:r>
                            <w:hyperlink r:id="rId61" w:history="1">
                              <w:r w:rsidRPr="008D39D6">
                                <w:rPr>
                                  <w:rStyle w:val="Hyperlink"/>
                                  <w:sz w:val="16"/>
                                  <w:szCs w:val="16"/>
                                </w:rPr>
                                <w:t>https://www.linkedin.com/company/ncver</w:t>
                              </w:r>
                            </w:hyperlink>
                            <w:r w:rsidRPr="008D39D6">
                              <w:rPr>
                                <w:szCs w:val="16"/>
                              </w:rPr>
                              <w:t>&gt;</w:t>
                            </w:r>
                            <w:r w:rsidRPr="008D39D6">
                              <w:rPr>
                                <w:szCs w:val="16"/>
                              </w:rPr>
                              <w:tab/>
                            </w:r>
                            <w:r w:rsidRPr="008D39D6">
                              <w:rPr>
                                <w:szCs w:val="16"/>
                              </w:rPr>
                              <w:tab/>
                            </w:r>
                          </w:p>
                          <w:p w14:paraId="0C77A254" w14:textId="5A9B1934" w:rsidR="008D39D6" w:rsidRPr="008D39D6" w:rsidRDefault="008D39D6" w:rsidP="00727B59">
                            <w:pPr>
                              <w:pStyle w:val="Imprint"/>
                              <w:tabs>
                                <w:tab w:val="left" w:pos="993"/>
                                <w:tab w:val="left" w:pos="3686"/>
                              </w:tabs>
                              <w:spacing w:before="40" w:after="100" w:afterAutospacing="1"/>
                              <w:rPr>
                                <w:szCs w:val="16"/>
                              </w:rPr>
                            </w:pPr>
                            <w:r w:rsidRPr="008D39D6">
                              <w:rPr>
                                <w:szCs w:val="16"/>
                              </w:rPr>
                              <w:tab/>
                            </w:r>
                            <w:r w:rsidRPr="008D39D6">
                              <w:rPr>
                                <w:rFonts w:ascii="Times New Roman" w:hAnsi="Times New Roman"/>
                                <w:noProof/>
                                <w:szCs w:val="16"/>
                                <w:lang w:eastAsia="en-AU"/>
                              </w:rPr>
                              <w:drawing>
                                <wp:inline distT="0" distB="0" distL="0" distR="0" wp14:anchorId="4C2BEF80" wp14:editId="3C7302C3">
                                  <wp:extent cx="123825" cy="123825"/>
                                  <wp:effectExtent l="0" t="0" r="9525" b="9525"/>
                                  <wp:docPr id="2317091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6826887"/>
                                          <pic:cNvPicPr>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39D6">
                              <w:rPr>
                                <w:szCs w:val="16"/>
                              </w:rPr>
                              <w:t xml:space="preserve">  &lt;</w:t>
                            </w:r>
                            <w:r w:rsidRPr="008D39D6">
                              <w:rPr>
                                <w:rStyle w:val="Hyperlink"/>
                                <w:sz w:val="16"/>
                                <w:szCs w:val="16"/>
                              </w:rPr>
                              <w:t>https://www.facebook.com/ncver.au</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BD3DF" id="_x0000_s1030" type="#_x0000_t202" style="position:absolute;margin-left:-6.05pt;margin-top:518.95pt;width:405pt;height:151.5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" filled="f" stroked="f" strokeweight=".5pt">
                <v:textbox>
                  <w:txbxContent>
                    <w:p w14:paraId="4C8FE6BA" w14:textId="77777777" w:rsidR="008D39D6" w:rsidRDefault="008D39D6" w:rsidP="008D39D6">
                      <w:pPr>
                        <w:rPr>
                          <w:rFonts w:ascii="Arial" w:hAnsi="Arial" w:cs="Arial"/>
                          <w:b/>
                        </w:rPr>
                      </w:pPr>
                      <w:r>
                        <w:rPr>
                          <w:rFonts w:ascii="Arial" w:hAnsi="Arial" w:cs="Arial"/>
                          <w:b/>
                        </w:rPr>
                        <w:t>National Centre for Vocational Education Research</w:t>
                      </w:r>
                    </w:p>
                    <w:p w14:paraId="4793569F" w14:textId="77777777" w:rsidR="008D39D6" w:rsidRDefault="008D39D6" w:rsidP="008D39D6">
                      <w:pPr>
                        <w:pStyle w:val="Imprint"/>
                        <w:spacing w:before="80"/>
                        <w:rPr>
                          <w:rFonts w:ascii="Arial" w:hAnsi="Arial" w:cs="Arial"/>
                          <w:color w:val="000000"/>
                        </w:rPr>
                      </w:pPr>
                      <w:r>
                        <w:rPr>
                          <w:rFonts w:ascii="Arial" w:hAnsi="Arial" w:cs="Arial"/>
                          <w:color w:val="000000"/>
                        </w:rPr>
                        <w:t>Level 5, 60 Light Square, Adelaide, SA 5000</w:t>
                      </w:r>
                      <w:r>
                        <w:rPr>
                          <w:rFonts w:ascii="Arial" w:hAnsi="Arial" w:cs="Arial"/>
                          <w:color w:val="000000"/>
                        </w:rPr>
                        <w:br/>
                        <w:t>PO Box 8288 Station Arcade, Adelaide SA 5000, Australia</w:t>
                      </w:r>
                    </w:p>
                    <w:p w14:paraId="7A6EDE8F" w14:textId="77777777" w:rsidR="008D39D6" w:rsidRDefault="008D39D6" w:rsidP="008D39D6">
                      <w:pPr>
                        <w:pStyle w:val="Imprint"/>
                        <w:tabs>
                          <w:tab w:val="left" w:pos="3402"/>
                        </w:tabs>
                        <w:spacing w:after="120"/>
                        <w:rPr>
                          <w:rFonts w:ascii="Arial" w:hAnsi="Arial" w:cs="Arial"/>
                        </w:rPr>
                      </w:pPr>
                      <w:r>
                        <w:rPr>
                          <w:rFonts w:ascii="Arial" w:hAnsi="Arial" w:cs="Arial"/>
                          <w:b/>
                        </w:rPr>
                        <w:t>Phone</w:t>
                      </w:r>
                      <w:r>
                        <w:rPr>
                          <w:rFonts w:ascii="Arial" w:hAnsi="Arial" w:cs="Arial"/>
                        </w:rPr>
                        <w:t xml:space="preserve"> +61 8 8230 8400  </w:t>
                      </w:r>
                      <w:r>
                        <w:rPr>
                          <w:rFonts w:ascii="Arial" w:hAnsi="Arial" w:cs="Arial"/>
                          <w:b/>
                        </w:rPr>
                        <w:t>Email</w:t>
                      </w:r>
                      <w:r>
                        <w:rPr>
                          <w:rFonts w:ascii="Arial" w:hAnsi="Arial" w:cs="Arial"/>
                        </w:rPr>
                        <w:t xml:space="preserve"> </w:t>
                      </w:r>
                      <w:hyperlink r:id="rId63" w:history="1">
                        <w:r>
                          <w:rPr>
                            <w:rStyle w:val="Hyperlink"/>
                            <w:rFonts w:ascii="Arial" w:hAnsi="Arial" w:cs="Arial"/>
                            <w:szCs w:val="16"/>
                          </w:rPr>
                          <w:t>ncver@ncver.edu.au</w:t>
                        </w:r>
                      </w:hyperlink>
                      <w:r>
                        <w:rPr>
                          <w:rFonts w:ascii="Arial" w:hAnsi="Arial" w:cs="Arial"/>
                          <w:szCs w:val="16"/>
                        </w:rPr>
                        <w:t xml:space="preserve">  </w:t>
                      </w:r>
                      <w:r>
                        <w:rPr>
                          <w:rFonts w:ascii="Arial" w:hAnsi="Arial" w:cs="Arial"/>
                          <w:szCs w:val="16"/>
                        </w:rPr>
                        <w:br/>
                      </w:r>
                      <w:r>
                        <w:rPr>
                          <w:rFonts w:ascii="Arial" w:hAnsi="Arial" w:cs="Arial"/>
                          <w:b/>
                          <w:szCs w:val="16"/>
                        </w:rPr>
                        <w:t>Web</w:t>
                      </w:r>
                      <w:r>
                        <w:rPr>
                          <w:rFonts w:ascii="Arial" w:hAnsi="Arial" w:cs="Arial"/>
                          <w:szCs w:val="16"/>
                        </w:rPr>
                        <w:t xml:space="preserve"> &lt;https://www.ncver.edu.au&gt;  &lt;</w:t>
                      </w:r>
                      <w:hyperlink r:id="rId64" w:history="1">
                        <w:r>
                          <w:rPr>
                            <w:rStyle w:val="Hyperlink"/>
                            <w:rFonts w:ascii="Arial" w:hAnsi="Arial" w:cs="Arial"/>
                            <w:szCs w:val="16"/>
                          </w:rPr>
                          <w:t>http://www.lsay.edu.au</w:t>
                        </w:r>
                      </w:hyperlink>
                      <w:r>
                        <w:rPr>
                          <w:rFonts w:ascii="Arial" w:hAnsi="Arial" w:cs="Arial"/>
                          <w:szCs w:val="16"/>
                        </w:rPr>
                        <w:t>&gt;</w:t>
                      </w:r>
                    </w:p>
                    <w:p w14:paraId="0A5D1B20" w14:textId="3BBB48DB" w:rsidR="008D39D6" w:rsidRPr="008D39D6" w:rsidRDefault="008D39D6" w:rsidP="008D39D6">
                      <w:pPr>
                        <w:pStyle w:val="Imprint"/>
                        <w:tabs>
                          <w:tab w:val="left" w:pos="993"/>
                          <w:tab w:val="left" w:pos="3686"/>
                        </w:tabs>
                        <w:rPr>
                          <w:szCs w:val="16"/>
                        </w:rPr>
                      </w:pPr>
                      <w:r>
                        <w:rPr>
                          <w:rFonts w:ascii="Arial" w:hAnsi="Arial" w:cs="Arial"/>
                          <w:b/>
                        </w:rPr>
                        <w:t>Follow us</w:t>
                      </w:r>
                      <w:r w:rsidRPr="008D39D6">
                        <w:rPr>
                          <w:rFonts w:ascii="Arial" w:hAnsi="Arial" w:cs="Arial"/>
                          <w:b/>
                          <w:szCs w:val="16"/>
                        </w:rPr>
                        <w:t>:</w:t>
                      </w:r>
                      <w:r w:rsidRPr="008D39D6">
                        <w:rPr>
                          <w:rFonts w:ascii="Arial" w:hAnsi="Arial" w:cs="Arial"/>
                          <w:szCs w:val="16"/>
                        </w:rPr>
                        <w:t xml:space="preserve">     </w:t>
                      </w:r>
                      <w:r w:rsidRPr="008D39D6">
                        <w:rPr>
                          <w:rFonts w:ascii="Times New Roman" w:hAnsi="Times New Roman"/>
                          <w:noProof/>
                          <w:szCs w:val="16"/>
                          <w:lang w:eastAsia="en-AU"/>
                        </w:rPr>
                        <w:drawing>
                          <wp:inline distT="0" distB="0" distL="0" distR="0" wp14:anchorId="21DBC26B" wp14:editId="0CEB58D3">
                            <wp:extent cx="114300" cy="123825"/>
                            <wp:effectExtent l="0" t="0" r="0" b="9525"/>
                            <wp:docPr id="179100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344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8D39D6">
                        <w:rPr>
                          <w:szCs w:val="16"/>
                        </w:rPr>
                        <w:t xml:space="preserve">  &lt;</w:t>
                      </w:r>
                      <w:hyperlink r:id="rId65" w:history="1">
                        <w:r w:rsidRPr="008D39D6">
                          <w:rPr>
                            <w:rStyle w:val="Hyperlink"/>
                            <w:sz w:val="16"/>
                            <w:szCs w:val="16"/>
                          </w:rPr>
                          <w:t>https://x.com/ncver</w:t>
                        </w:r>
                      </w:hyperlink>
                      <w:r w:rsidRPr="008D39D6">
                        <w:rPr>
                          <w:szCs w:val="16"/>
                        </w:rPr>
                        <w:t xml:space="preserve">&gt;  </w:t>
                      </w:r>
                    </w:p>
                    <w:p w14:paraId="30E641D0" w14:textId="04CED594" w:rsidR="008D39D6" w:rsidRPr="008D39D6" w:rsidRDefault="008D39D6" w:rsidP="008D39D6">
                      <w:pPr>
                        <w:pStyle w:val="Imprint"/>
                        <w:tabs>
                          <w:tab w:val="left" w:pos="993"/>
                          <w:tab w:val="left" w:pos="3686"/>
                        </w:tabs>
                        <w:spacing w:before="40"/>
                        <w:rPr>
                          <w:szCs w:val="16"/>
                        </w:rPr>
                      </w:pPr>
                      <w:r w:rsidRPr="008D39D6">
                        <w:rPr>
                          <w:szCs w:val="16"/>
                        </w:rPr>
                        <w:tab/>
                      </w:r>
                      <w:r w:rsidRPr="008D39D6">
                        <w:rPr>
                          <w:rFonts w:ascii="Times New Roman" w:hAnsi="Times New Roman"/>
                          <w:noProof/>
                          <w:szCs w:val="16"/>
                          <w:lang w:eastAsia="en-AU"/>
                        </w:rPr>
                        <w:drawing>
                          <wp:inline distT="0" distB="0" distL="0" distR="0" wp14:anchorId="06BE4363" wp14:editId="5FC0DC43">
                            <wp:extent cx="123825" cy="123825"/>
                            <wp:effectExtent l="0" t="0" r="9525" b="9525"/>
                            <wp:docPr id="746877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6251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39D6">
                        <w:rPr>
                          <w:szCs w:val="16"/>
                        </w:rPr>
                        <w:t xml:space="preserve">  &lt;</w:t>
                      </w:r>
                      <w:hyperlink r:id="rId66" w:history="1">
                        <w:r w:rsidRPr="008D39D6">
                          <w:rPr>
                            <w:rStyle w:val="Hyperlink"/>
                            <w:sz w:val="16"/>
                            <w:szCs w:val="16"/>
                          </w:rPr>
                          <w:t>https://www.linkedin.com/company/ncver</w:t>
                        </w:r>
                      </w:hyperlink>
                      <w:r w:rsidRPr="008D39D6">
                        <w:rPr>
                          <w:szCs w:val="16"/>
                        </w:rPr>
                        <w:t>&gt;</w:t>
                      </w:r>
                      <w:r w:rsidRPr="008D39D6">
                        <w:rPr>
                          <w:szCs w:val="16"/>
                        </w:rPr>
                        <w:tab/>
                      </w:r>
                      <w:r w:rsidRPr="008D39D6">
                        <w:rPr>
                          <w:szCs w:val="16"/>
                        </w:rPr>
                        <w:tab/>
                      </w:r>
                    </w:p>
                    <w:p w14:paraId="0C77A254" w14:textId="5A9B1934" w:rsidR="008D39D6" w:rsidRPr="008D39D6" w:rsidRDefault="008D39D6" w:rsidP="00727B59">
                      <w:pPr>
                        <w:pStyle w:val="Imprint"/>
                        <w:tabs>
                          <w:tab w:val="left" w:pos="993"/>
                          <w:tab w:val="left" w:pos="3686"/>
                        </w:tabs>
                        <w:spacing w:before="40" w:after="100" w:afterAutospacing="1"/>
                        <w:rPr>
                          <w:szCs w:val="16"/>
                        </w:rPr>
                      </w:pPr>
                      <w:r w:rsidRPr="008D39D6">
                        <w:rPr>
                          <w:szCs w:val="16"/>
                        </w:rPr>
                        <w:tab/>
                      </w:r>
                      <w:r w:rsidRPr="008D39D6">
                        <w:rPr>
                          <w:rFonts w:ascii="Times New Roman" w:hAnsi="Times New Roman"/>
                          <w:noProof/>
                          <w:szCs w:val="16"/>
                          <w:lang w:eastAsia="en-AU"/>
                        </w:rPr>
                        <w:drawing>
                          <wp:inline distT="0" distB="0" distL="0" distR="0" wp14:anchorId="4C2BEF80" wp14:editId="3C7302C3">
                            <wp:extent cx="123825" cy="123825"/>
                            <wp:effectExtent l="0" t="0" r="9525" b="9525"/>
                            <wp:docPr id="2317091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6826887"/>
                                    <pic:cNvPicPr>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39D6">
                        <w:rPr>
                          <w:szCs w:val="16"/>
                        </w:rPr>
                        <w:t xml:space="preserve">  &lt;</w:t>
                      </w:r>
                      <w:r w:rsidRPr="008D39D6">
                        <w:rPr>
                          <w:rStyle w:val="Hyperlink"/>
                          <w:sz w:val="16"/>
                          <w:szCs w:val="16"/>
                        </w:rPr>
                        <w:t>https://www.facebook.com/ncver.au</w:t>
                      </w:r>
                    </w:p>
                  </w:txbxContent>
                </v:textbox>
              </v:shape>
            </w:pict>
          </mc:Fallback>
        </mc:AlternateContent>
      </w:r>
    </w:p>
    <w:sectPr w:rsidR="008D39D6" w:rsidRPr="008D39D6" w:rsidSect="00826CBB">
      <w:pgSz w:w="11907" w:h="16840" w:code="9"/>
      <w:pgMar w:top="1276" w:right="1276" w:bottom="1276"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2D4D" w14:textId="77777777" w:rsidR="00D62CD8" w:rsidRDefault="00D62CD8">
      <w:r>
        <w:separator/>
      </w:r>
    </w:p>
    <w:p w14:paraId="478AE892" w14:textId="77777777" w:rsidR="00D62CD8" w:rsidRDefault="00D62CD8"/>
  </w:endnote>
  <w:endnote w:type="continuationSeparator" w:id="0">
    <w:p w14:paraId="6EFCCC34" w14:textId="77777777" w:rsidR="00D62CD8" w:rsidRDefault="00D62CD8">
      <w:r>
        <w:continuationSeparator/>
      </w:r>
    </w:p>
    <w:p w14:paraId="7332CBF7" w14:textId="77777777" w:rsidR="00D62CD8" w:rsidRDefault="00D62CD8"/>
  </w:endnote>
  <w:endnote w:type="continuationNotice" w:id="1">
    <w:p w14:paraId="50C1DA3E" w14:textId="77777777" w:rsidR="00D62CD8" w:rsidRDefault="00D62C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imbusSanL-Regu">
    <w:altName w:val="Calibri"/>
    <w:panose1 w:val="00000000000000000000"/>
    <w:charset w:val="00"/>
    <w:family w:val="auto"/>
    <w:notTrueType/>
    <w:pitch w:val="default"/>
    <w:sig w:usb0="00000003" w:usb1="00000000" w:usb2="00000000" w:usb3="00000000" w:csb0="00000001" w:csb1="00000000"/>
  </w:font>
  <w:font w:name="NimbusSanL-Regu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91E5" w14:textId="77777777" w:rsidR="00CA0E0D" w:rsidRDefault="00CA0E0D">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BEE8" w14:textId="77777777" w:rsidR="00CA0E0D" w:rsidRDefault="00CA0E0D">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202C" w14:textId="77777777" w:rsidR="00CA0E0D" w:rsidRDefault="00CA0E0D">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CF59" w14:textId="5200DA1E" w:rsidR="00753998" w:rsidRPr="00C83D73" w:rsidRDefault="00753998" w:rsidP="00AD4D89">
    <w:pPr>
      <w:pStyle w:val="Footer"/>
      <w:framePr w:wrap="arou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1D2E" w14:textId="77777777" w:rsidR="00753998" w:rsidRPr="00C83D73" w:rsidRDefault="00753998" w:rsidP="00AD4D89">
    <w:pPr>
      <w:pStyle w:val="Footer"/>
      <w:framePr w:wrap="arou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AC487" w14:textId="77777777" w:rsidR="00753998" w:rsidRPr="004B031A" w:rsidRDefault="00753998" w:rsidP="004B031A">
    <w:pPr>
      <w:pStyle w:val="Footer"/>
      <w:framePr w:wrap="arou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C400" w14:textId="77777777" w:rsidR="00753998" w:rsidRPr="00214ED0" w:rsidRDefault="00753998" w:rsidP="00AD4D89">
    <w:pPr>
      <w:pStyle w:val="Footer"/>
      <w:framePr w:wrap="arou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F134" w14:textId="77777777" w:rsidR="004439CF" w:rsidRPr="00CB0887" w:rsidRDefault="004439CF" w:rsidP="004439CF">
    <w:pPr>
      <w:pStyle w:val="Footer"/>
      <w:framePr w:wrap="auto" w:vAnchor="margin" w:yAlign="inline"/>
      <w:tabs>
        <w:tab w:val="clear" w:pos="9072"/>
        <w:tab w:val="right" w:pos="9356"/>
      </w:tabs>
      <w:ind w:right="-1986"/>
      <w:rPr>
        <w:color w:val="000000" w:themeColor="text1"/>
      </w:rPr>
    </w:pPr>
    <w:r w:rsidRPr="00ED2F6F">
      <w:rPr>
        <w:color w:val="000000" w:themeColor="text1"/>
      </w:rPr>
      <w:t>Is the die cast? Investigating the relationship between prior academic achievement and</w:t>
    </w:r>
    <w:r>
      <w:rPr>
        <w:color w:val="000000" w:themeColor="text1"/>
      </w:rPr>
      <w:br/>
    </w:r>
    <w:r w:rsidRPr="00ED2F6F">
      <w:rPr>
        <w:color w:val="000000" w:themeColor="text1"/>
      </w:rPr>
      <w:t>tertiary entranc</w:t>
    </w:r>
    <w:r>
      <w:rPr>
        <w:color w:val="000000" w:themeColor="text1"/>
      </w:rPr>
      <w:t>e</w:t>
    </w:r>
    <w:r w:rsidRPr="00ED2F6F">
      <w:rPr>
        <w:color w:val="000000" w:themeColor="text1"/>
      </w:rPr>
      <w:t xml:space="preserve"> performance</w:t>
    </w:r>
    <w:r>
      <w:rPr>
        <w:color w:val="000000" w:themeColor="text1"/>
      </w:rPr>
      <w:tab/>
      <w:t xml:space="preserve">NCVER | </w:t>
    </w:r>
    <w:r w:rsidRPr="00513938">
      <w:rPr>
        <w:rStyle w:val="PageNumber"/>
        <w:rFonts w:ascii="Arial" w:hAnsi="Arial"/>
        <w:b w:val="0"/>
        <w:color w:val="000000" w:themeColor="text1"/>
        <w:sz w:val="17"/>
      </w:rPr>
      <w:fldChar w:fldCharType="begin"/>
    </w:r>
    <w:r w:rsidRPr="00513938">
      <w:rPr>
        <w:rStyle w:val="PageNumber"/>
        <w:rFonts w:ascii="Arial" w:hAnsi="Arial"/>
        <w:color w:val="000000" w:themeColor="text1"/>
        <w:sz w:val="17"/>
      </w:rPr>
      <w:instrText xml:space="preserve"> PAGE </w:instrText>
    </w:r>
    <w:r w:rsidRPr="00513938">
      <w:rPr>
        <w:rStyle w:val="PageNumber"/>
        <w:rFonts w:ascii="Arial" w:hAnsi="Arial"/>
        <w:b w:val="0"/>
        <w:color w:val="000000" w:themeColor="text1"/>
        <w:sz w:val="17"/>
      </w:rPr>
      <w:fldChar w:fldCharType="separate"/>
    </w:r>
    <w:r>
      <w:rPr>
        <w:rStyle w:val="PageNumber"/>
        <w:rFonts w:ascii="Arial" w:hAnsi="Arial"/>
        <w:b w:val="0"/>
        <w:color w:val="000000" w:themeColor="text1"/>
        <w:sz w:val="17"/>
      </w:rPr>
      <w:t>27</w:t>
    </w:r>
    <w:r w:rsidRPr="00513938">
      <w:rPr>
        <w:rStyle w:val="PageNumber"/>
        <w:rFonts w:ascii="Arial" w:hAnsi="Arial"/>
        <w:b w:val="0"/>
        <w:color w:val="000000" w:themeColor="text1"/>
        <w:sz w:val="17"/>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275C" w14:textId="49F181A5" w:rsidR="00753998" w:rsidRPr="00CB0887" w:rsidRDefault="00ED2F6F" w:rsidP="004439CF">
    <w:pPr>
      <w:pStyle w:val="Footer"/>
      <w:framePr w:wrap="auto" w:vAnchor="margin" w:yAlign="inline"/>
      <w:tabs>
        <w:tab w:val="clear" w:pos="9072"/>
        <w:tab w:val="right" w:pos="9356"/>
      </w:tabs>
      <w:ind w:right="-1986"/>
      <w:rPr>
        <w:color w:val="000000" w:themeColor="text1"/>
      </w:rPr>
    </w:pPr>
    <w:r w:rsidRPr="00ED2F6F">
      <w:rPr>
        <w:color w:val="000000" w:themeColor="text1"/>
      </w:rPr>
      <w:t>Is the die cast? Investigating the relationship between prior academic achievement and</w:t>
    </w:r>
    <w:r>
      <w:rPr>
        <w:color w:val="000000" w:themeColor="text1"/>
      </w:rPr>
      <w:br/>
    </w:r>
    <w:r w:rsidRPr="00ED2F6F">
      <w:rPr>
        <w:color w:val="000000" w:themeColor="text1"/>
      </w:rPr>
      <w:t>tertiary entranc</w:t>
    </w:r>
    <w:r w:rsidR="004439CF">
      <w:rPr>
        <w:color w:val="000000" w:themeColor="text1"/>
      </w:rPr>
      <w:t>e</w:t>
    </w:r>
    <w:r w:rsidRPr="00ED2F6F">
      <w:rPr>
        <w:color w:val="000000" w:themeColor="text1"/>
      </w:rPr>
      <w:t xml:space="preserve"> performance</w:t>
    </w:r>
    <w:r w:rsidR="00CB0887">
      <w:rPr>
        <w:color w:val="000000" w:themeColor="text1"/>
      </w:rPr>
      <w:tab/>
      <w:t xml:space="preserve">NCVER | </w:t>
    </w:r>
    <w:r w:rsidR="00CB0887" w:rsidRPr="00513938">
      <w:rPr>
        <w:rStyle w:val="PageNumber"/>
        <w:rFonts w:ascii="Arial" w:hAnsi="Arial"/>
        <w:b w:val="0"/>
        <w:color w:val="000000" w:themeColor="text1"/>
        <w:sz w:val="17"/>
      </w:rPr>
      <w:fldChar w:fldCharType="begin"/>
    </w:r>
    <w:r w:rsidR="00CB0887" w:rsidRPr="00513938">
      <w:rPr>
        <w:rStyle w:val="PageNumber"/>
        <w:rFonts w:ascii="Arial" w:hAnsi="Arial"/>
        <w:color w:val="000000" w:themeColor="text1"/>
        <w:sz w:val="17"/>
      </w:rPr>
      <w:instrText xml:space="preserve"> PAGE </w:instrText>
    </w:r>
    <w:r w:rsidR="00CB0887" w:rsidRPr="00513938">
      <w:rPr>
        <w:rStyle w:val="PageNumber"/>
        <w:rFonts w:ascii="Arial" w:hAnsi="Arial"/>
        <w:b w:val="0"/>
        <w:color w:val="000000" w:themeColor="text1"/>
        <w:sz w:val="17"/>
      </w:rPr>
      <w:fldChar w:fldCharType="separate"/>
    </w:r>
    <w:r w:rsidR="00CB0887">
      <w:rPr>
        <w:rStyle w:val="PageNumber"/>
        <w:rFonts w:ascii="Arial" w:hAnsi="Arial"/>
        <w:b w:val="0"/>
        <w:color w:val="000000" w:themeColor="text1"/>
        <w:sz w:val="17"/>
      </w:rPr>
      <w:t>6</w:t>
    </w:r>
    <w:r w:rsidR="00CB0887" w:rsidRPr="00513938">
      <w:rPr>
        <w:rStyle w:val="PageNumber"/>
        <w:rFonts w:ascii="Arial" w:hAnsi="Arial"/>
        <w:b w:val="0"/>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2B89" w14:textId="7AE30A3B" w:rsidR="00041A4F" w:rsidRDefault="00826CBB">
      <w:r>
        <w:separator/>
      </w:r>
    </w:p>
  </w:footnote>
  <w:footnote w:type="continuationSeparator" w:id="0">
    <w:p w14:paraId="106BB5D8" w14:textId="77777777" w:rsidR="00D62CD8" w:rsidRDefault="00D62CD8">
      <w:r>
        <w:continuationSeparator/>
      </w:r>
    </w:p>
    <w:p w14:paraId="0F2BD0ED" w14:textId="77777777" w:rsidR="00D62CD8" w:rsidRDefault="00D62CD8"/>
  </w:footnote>
  <w:footnote w:type="continuationNotice" w:id="1">
    <w:p w14:paraId="151AABD6" w14:textId="77777777" w:rsidR="00D62CD8" w:rsidRDefault="00D62CD8">
      <w:pPr>
        <w:spacing w:before="0" w:line="240" w:lineRule="auto"/>
      </w:pPr>
    </w:p>
  </w:footnote>
  <w:footnote w:id="2">
    <w:p w14:paraId="149F45C9" w14:textId="41C0EEDF" w:rsidR="007546BA" w:rsidRPr="000E11A8" w:rsidRDefault="007546BA" w:rsidP="002A184E">
      <w:pPr>
        <w:pStyle w:val="FootnoteText"/>
        <w:rPr>
          <w:spacing w:val="2"/>
        </w:rPr>
      </w:pPr>
      <w:r w:rsidRPr="000E11A8">
        <w:rPr>
          <w:rStyle w:val="FootnoteReference"/>
          <w:spacing w:val="2"/>
          <w:vertAlign w:val="baseline"/>
        </w:rPr>
        <w:footnoteRef/>
      </w:r>
      <w:r w:rsidRPr="000E11A8">
        <w:rPr>
          <w:spacing w:val="2"/>
        </w:rPr>
        <w:t xml:space="preserve"> </w:t>
      </w:r>
      <w:r w:rsidR="003426BA" w:rsidRPr="000E11A8">
        <w:rPr>
          <w:spacing w:val="2"/>
        </w:rPr>
        <w:tab/>
      </w:r>
      <w:r w:rsidRPr="000E11A8">
        <w:rPr>
          <w:spacing w:val="2"/>
        </w:rPr>
        <w:t>The average ATAR is usually around 70.00. This is because not all students go on to complete a senior secondary certificate. The average ATAR would be 50.00 only if all students obtained an ATAR</w:t>
      </w:r>
      <w:r w:rsidR="00944268" w:rsidRPr="000E11A8">
        <w:rPr>
          <w:spacing w:val="2"/>
        </w:rPr>
        <w:t xml:space="preserve"> (University Admissions Centre 2023)</w:t>
      </w:r>
      <w:r w:rsidRPr="000E11A8">
        <w:rPr>
          <w:spacing w:val="2"/>
        </w:rPr>
        <w:t xml:space="preserve">. The lowest </w:t>
      </w:r>
      <w:r w:rsidR="009A1EB7" w:rsidRPr="000E11A8">
        <w:rPr>
          <w:spacing w:val="2"/>
        </w:rPr>
        <w:t>reported</w:t>
      </w:r>
      <w:r w:rsidRPr="000E11A8">
        <w:rPr>
          <w:spacing w:val="2"/>
        </w:rPr>
        <w:t xml:space="preserve"> rank is 30.00 and all ranks below this value are reported as </w:t>
      </w:r>
      <w:r w:rsidR="0051199F" w:rsidRPr="000E11A8">
        <w:rPr>
          <w:spacing w:val="2"/>
        </w:rPr>
        <w:t>‘</w:t>
      </w:r>
      <w:r w:rsidRPr="000E11A8">
        <w:rPr>
          <w:spacing w:val="2"/>
        </w:rPr>
        <w:t>less than 30</w:t>
      </w:r>
      <w:r w:rsidR="0051199F" w:rsidRPr="000E11A8">
        <w:rPr>
          <w:spacing w:val="2"/>
        </w:rPr>
        <w:t>’</w:t>
      </w:r>
      <w:r w:rsidR="00B81F70" w:rsidRPr="000E11A8">
        <w:rPr>
          <w:spacing w:val="2"/>
        </w:rPr>
        <w:t xml:space="preserve"> (Australian Department of Education 2017</w:t>
      </w:r>
      <w:r w:rsidR="00E76EB5" w:rsidRPr="000E11A8">
        <w:rPr>
          <w:spacing w:val="2"/>
        </w:rPr>
        <w:t>)</w:t>
      </w:r>
      <w:r w:rsidRPr="000E11A8">
        <w:rPr>
          <w:spacing w:val="2"/>
        </w:rPr>
        <w:t>.</w:t>
      </w:r>
    </w:p>
  </w:footnote>
  <w:footnote w:id="3">
    <w:p w14:paraId="7E2D4E65" w14:textId="3C74D738" w:rsidR="00D4182A" w:rsidRPr="00A26F2D" w:rsidRDefault="00D4182A" w:rsidP="002A184E">
      <w:pPr>
        <w:pStyle w:val="FootnoteText"/>
        <w:rPr>
          <w:color w:val="4F81BD" w:themeColor="accent1"/>
        </w:rPr>
      </w:pPr>
      <w:r w:rsidRPr="002A184E">
        <w:rPr>
          <w:rStyle w:val="FootnoteReference"/>
          <w:vertAlign w:val="baseline"/>
        </w:rPr>
        <w:footnoteRef/>
      </w:r>
      <w:r w:rsidRPr="002A184E">
        <w:t xml:space="preserve"> </w:t>
      </w:r>
      <w:r w:rsidRPr="002A184E">
        <w:tab/>
        <w:t xml:space="preserve">OP to ATAR conversion table available at: </w:t>
      </w:r>
      <w:hyperlink r:id="rId1" w:history="1">
        <w:r w:rsidRPr="002A184E">
          <w:t>https://www.qtac.edu.au/wp-content/uploads/2020/06/ATARs_OP_bands.pdf</w:t>
        </w:r>
      </w:hyperlink>
      <w:r w:rsidR="002A184E" w:rsidRPr="002A184E">
        <w:t>.</w:t>
      </w:r>
    </w:p>
  </w:footnote>
  <w:footnote w:id="4">
    <w:p w14:paraId="5A3E2232" w14:textId="185B7ADF" w:rsidR="007E4F53" w:rsidRPr="008C6686" w:rsidRDefault="007E4F53" w:rsidP="008C6686">
      <w:pPr>
        <w:pStyle w:val="FootnoteText"/>
      </w:pPr>
      <w:r w:rsidRPr="008C6686">
        <w:rPr>
          <w:rStyle w:val="FootnoteReference"/>
          <w:vertAlign w:val="baseline"/>
        </w:rPr>
        <w:footnoteRef/>
      </w:r>
      <w:r w:rsidRPr="008C6686">
        <w:t xml:space="preserve">    Several school measures were tested as the random effect, such as school sector, school’s average NAPLAN scores, nesting schools ID under school sector, socioeconomic status of students, and stratum based on the LSAY/PISA sampling structure but school IDs remained the best</w:t>
      </w:r>
      <w:r w:rsidR="004E08BA" w:rsidRPr="008C6686">
        <w:t>-</w:t>
      </w:r>
      <w:r w:rsidRPr="008C6686">
        <w:t>performing random effect.</w:t>
      </w:r>
    </w:p>
  </w:footnote>
  <w:footnote w:id="5">
    <w:p w14:paraId="28D195C7" w14:textId="71B71DB9" w:rsidR="007A673B" w:rsidRPr="00826CBB" w:rsidRDefault="007A673B" w:rsidP="00826CBB">
      <w:pPr>
        <w:pStyle w:val="FootnoteText"/>
      </w:pPr>
      <w:r w:rsidRPr="00826CBB">
        <w:rPr>
          <w:rStyle w:val="FootnoteReference"/>
          <w:vertAlign w:val="baseline"/>
        </w:rPr>
        <w:footnoteRef/>
      </w:r>
      <w:r w:rsidRPr="00826CBB">
        <w:t xml:space="preserve"> </w:t>
      </w:r>
      <w:r w:rsidR="00BB5F4B" w:rsidRPr="00826CBB">
        <w:tab/>
      </w:r>
      <w:r w:rsidRPr="00826CBB">
        <w:t>The score equivalence table converts a student’s raw score on their NAPLAN tests to its equivalent on the relevant NAPLAN scale score</w:t>
      </w:r>
      <w:r w:rsidR="00E00C23" w:rsidRPr="00826CBB">
        <w:t>,</w:t>
      </w:r>
      <w:r w:rsidRPr="00826CBB">
        <w:t xml:space="preserve"> which ranges from zero to 1000. The raw score is based on the number of questions answered correctly and varies by domain and year level.</w:t>
      </w:r>
    </w:p>
  </w:footnote>
  <w:footnote w:id="6">
    <w:p w14:paraId="21F5E725" w14:textId="4AA7A213" w:rsidR="00F40C70" w:rsidRDefault="00F40C70">
      <w:pPr>
        <w:pStyle w:val="FootnoteText"/>
      </w:pPr>
      <w:r w:rsidRPr="001113B1">
        <w:rPr>
          <w:rStyle w:val="FootnoteReference"/>
        </w:rPr>
        <w:footnoteRef/>
      </w:r>
      <w:r w:rsidRPr="001113B1">
        <w:t xml:space="preserve"> Odds-ratio for </w:t>
      </w:r>
      <w:r w:rsidR="00D8635F" w:rsidRPr="001113B1">
        <w:t xml:space="preserve">an increase of 50 in </w:t>
      </w:r>
      <w:r w:rsidRPr="001113B1">
        <w:t>NAPLAN achievement scores averaged over all SES quintiles is 1.83</w:t>
      </w:r>
      <w:r w:rsidR="00D8635F" w:rsidRPr="001113B1">
        <w:t xml:space="preserve"> for the ATAR high achievers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438D" w14:textId="77777777" w:rsidR="00CA0E0D" w:rsidRDefault="00CA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AFA3" w14:textId="77777777" w:rsidR="00CA0E0D" w:rsidRDefault="00CA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101A" w14:textId="77777777" w:rsidR="00CA0E0D" w:rsidRDefault="00CA0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EC90" w14:textId="77777777" w:rsidR="00753998" w:rsidRDefault="00753998" w:rsidP="004E1A1B">
    <w:pPr>
      <w:tabs>
        <w:tab w:val="left" w:pos="5972"/>
      </w:tabs>
    </w:pPr>
    <w:r w:rsidRPr="00214ED0">
      <w:rPr>
        <w:noProof/>
        <w:lang w:eastAsia="en-AU"/>
      </w:rPr>
      <w:drawing>
        <wp:anchor distT="0" distB="0" distL="114300" distR="114300" simplePos="0" relativeHeight="251658240" behindDoc="1" locked="0" layoutInCell="1" allowOverlap="1" wp14:anchorId="1BF65E2E" wp14:editId="5587DA36">
          <wp:simplePos x="0" y="0"/>
          <wp:positionH relativeFrom="column">
            <wp:posOffset>34925</wp:posOffset>
          </wp:positionH>
          <wp:positionV relativeFrom="paragraph">
            <wp:posOffset>8621</wp:posOffset>
          </wp:positionV>
          <wp:extent cx="5930153" cy="101167"/>
          <wp:effectExtent l="0" t="0" r="0" b="0"/>
          <wp:wrapNone/>
          <wp:docPr id="1255429222" name="Picture 1255429222" descr="G:\marketing_services\CorporateBranding\NCVER_CMYK_Colour_B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marketing_services\CorporateBranding\NCVER_CMYK_Colour_Bar.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0153" cy="10116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331B" w14:textId="77777777" w:rsidR="00753998" w:rsidRPr="00D66D9A" w:rsidRDefault="00753998" w:rsidP="00D66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70B38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3pt;visibility:visible;mso-wrap-style:square" o:bullet="t">
        <v:imagedata r:id="rId1" o:title=""/>
        <o:lock v:ext="edit" aspectratio="f"/>
      </v:shape>
    </w:pict>
  </w:numPicBullet>
  <w:abstractNum w:abstractNumId="0" w15:restartNumberingAfterBreak="0">
    <w:nsid w:val="FFFFFF7C"/>
    <w:multiLevelType w:val="singleLevel"/>
    <w:tmpl w:val="3982A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BA7D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4056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8EE9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984A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85F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AB9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0C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EE5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34F7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44934A"/>
    <w:lvl w:ilvl="0" w:tplc="24BA3DD4">
      <w:start w:val="1"/>
      <w:numFmt w:val="decimal"/>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CE37F6D"/>
    <w:multiLevelType w:val="hybridMultilevel"/>
    <w:tmpl w:val="B30EA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666338"/>
    <w:multiLevelType w:val="hybridMultilevel"/>
    <w:tmpl w:val="40EE5316"/>
    <w:lvl w:ilvl="0" w:tplc="AB14BFD8">
      <w:start w:val="16"/>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F3934"/>
    <w:multiLevelType w:val="hybridMultilevel"/>
    <w:tmpl w:val="6EA2BA28"/>
    <w:lvl w:ilvl="0" w:tplc="0C090001">
      <w:start w:val="1"/>
      <w:numFmt w:val="bullet"/>
      <w:lvlText w:val=""/>
      <w:lvlJc w:val="left"/>
      <w:pPr>
        <w:ind w:left="360" w:hanging="360"/>
      </w:pPr>
      <w:rPr>
        <w:rFonts w:ascii="Symbol" w:hAnsi="Symbol" w:hint="default"/>
      </w:rPr>
    </w:lvl>
    <w:lvl w:ilvl="1" w:tplc="30F6D026">
      <w:start w:val="1"/>
      <w:numFmt w:val="bullet"/>
      <w:lvlText w:val="o"/>
      <w:lvlJc w:val="left"/>
      <w:pPr>
        <w:ind w:left="1080" w:hanging="360"/>
      </w:pPr>
      <w:rPr>
        <w:rFonts w:ascii="Courier New" w:hAnsi="Courier New" w:cs="Courier New" w:hint="default"/>
        <w:color w:val="00800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F723D"/>
    <w:multiLevelType w:val="hybridMultilevel"/>
    <w:tmpl w:val="9A88CE06"/>
    <w:lvl w:ilvl="0" w:tplc="AB14BFD8">
      <w:start w:val="16"/>
      <w:numFmt w:val="bullet"/>
      <w:lvlText w:val="-"/>
      <w:lvlJc w:val="left"/>
      <w:pPr>
        <w:ind w:left="720" w:hanging="360"/>
      </w:pPr>
      <w:rPr>
        <w:rFonts w:ascii="Trebuchet MS" w:eastAsia="Times New Roman" w:hAnsi="Trebuchet M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9D7BC7"/>
    <w:multiLevelType w:val="hybridMultilevel"/>
    <w:tmpl w:val="9956DD44"/>
    <w:lvl w:ilvl="0" w:tplc="AB14BFD8">
      <w:start w:val="16"/>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7F083E"/>
    <w:multiLevelType w:val="hybridMultilevel"/>
    <w:tmpl w:val="C4A0BF16"/>
    <w:lvl w:ilvl="0" w:tplc="0C090005">
      <w:start w:val="1"/>
      <w:numFmt w:val="bullet"/>
      <w:lvlText w:val=""/>
      <w:lvlJc w:val="left"/>
      <w:pPr>
        <w:tabs>
          <w:tab w:val="num" w:pos="720"/>
        </w:tabs>
        <w:ind w:left="720" w:hanging="360"/>
      </w:pPr>
      <w:rPr>
        <w:rFonts w:ascii="Wingdings" w:hAnsi="Wingdings" w:hint="default"/>
      </w:rPr>
    </w:lvl>
    <w:lvl w:ilvl="1" w:tplc="391067CA">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B1713"/>
    <w:multiLevelType w:val="hybridMultilevel"/>
    <w:tmpl w:val="D49CE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F5BC7"/>
    <w:multiLevelType w:val="hybridMultilevel"/>
    <w:tmpl w:val="00D41F2A"/>
    <w:lvl w:ilvl="0" w:tplc="0C090001">
      <w:start w:val="1"/>
      <w:numFmt w:val="bullet"/>
      <w:lvlText w:val=""/>
      <w:lvlJc w:val="left"/>
      <w:pPr>
        <w:ind w:left="720" w:hanging="360"/>
      </w:pPr>
      <w:rPr>
        <w:rFonts w:ascii="Symbol" w:hAnsi="Symbol" w:hint="default"/>
      </w:rPr>
    </w:lvl>
    <w:lvl w:ilvl="1" w:tplc="AB14BFD8">
      <w:start w:val="16"/>
      <w:numFmt w:val="bullet"/>
      <w:lvlText w:val="-"/>
      <w:lvlJc w:val="left"/>
      <w:pPr>
        <w:ind w:left="720" w:hanging="360"/>
      </w:pPr>
      <w:rPr>
        <w:rFonts w:ascii="Trebuchet MS" w:eastAsia="Times New Roman" w:hAnsi="Trebuchet MS"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EB400C"/>
    <w:multiLevelType w:val="hybridMultilevel"/>
    <w:tmpl w:val="A5A05E66"/>
    <w:lvl w:ilvl="0" w:tplc="DB109C96">
      <w:start w:val="1"/>
      <w:numFmt w:val="decimal"/>
      <w:lvlText w:val="%1)"/>
      <w:lvlJc w:val="left"/>
      <w:pPr>
        <w:ind w:left="1020" w:hanging="360"/>
      </w:pPr>
    </w:lvl>
    <w:lvl w:ilvl="1" w:tplc="CAE8BE26">
      <w:start w:val="1"/>
      <w:numFmt w:val="decimal"/>
      <w:lvlText w:val="%2)"/>
      <w:lvlJc w:val="left"/>
      <w:pPr>
        <w:ind w:left="1020" w:hanging="360"/>
      </w:pPr>
    </w:lvl>
    <w:lvl w:ilvl="2" w:tplc="2FDA4C70">
      <w:start w:val="1"/>
      <w:numFmt w:val="decimal"/>
      <w:lvlText w:val="%3)"/>
      <w:lvlJc w:val="left"/>
      <w:pPr>
        <w:ind w:left="1020" w:hanging="360"/>
      </w:pPr>
    </w:lvl>
    <w:lvl w:ilvl="3" w:tplc="D4987506">
      <w:start w:val="1"/>
      <w:numFmt w:val="decimal"/>
      <w:lvlText w:val="%4)"/>
      <w:lvlJc w:val="left"/>
      <w:pPr>
        <w:ind w:left="1020" w:hanging="360"/>
      </w:pPr>
    </w:lvl>
    <w:lvl w:ilvl="4" w:tplc="066E23B6">
      <w:start w:val="1"/>
      <w:numFmt w:val="decimal"/>
      <w:lvlText w:val="%5)"/>
      <w:lvlJc w:val="left"/>
      <w:pPr>
        <w:ind w:left="1020" w:hanging="360"/>
      </w:pPr>
    </w:lvl>
    <w:lvl w:ilvl="5" w:tplc="66A05FD4">
      <w:start w:val="1"/>
      <w:numFmt w:val="decimal"/>
      <w:lvlText w:val="%6)"/>
      <w:lvlJc w:val="left"/>
      <w:pPr>
        <w:ind w:left="1020" w:hanging="360"/>
      </w:pPr>
    </w:lvl>
    <w:lvl w:ilvl="6" w:tplc="9C9EE950">
      <w:start w:val="1"/>
      <w:numFmt w:val="decimal"/>
      <w:lvlText w:val="%7)"/>
      <w:lvlJc w:val="left"/>
      <w:pPr>
        <w:ind w:left="1020" w:hanging="360"/>
      </w:pPr>
    </w:lvl>
    <w:lvl w:ilvl="7" w:tplc="592C7CBA">
      <w:start w:val="1"/>
      <w:numFmt w:val="decimal"/>
      <w:lvlText w:val="%8)"/>
      <w:lvlJc w:val="left"/>
      <w:pPr>
        <w:ind w:left="1020" w:hanging="360"/>
      </w:pPr>
    </w:lvl>
    <w:lvl w:ilvl="8" w:tplc="8A184C62">
      <w:start w:val="1"/>
      <w:numFmt w:val="decimal"/>
      <w:lvlText w:val="%9)"/>
      <w:lvlJc w:val="left"/>
      <w:pPr>
        <w:ind w:left="1020" w:hanging="360"/>
      </w:pPr>
    </w:lvl>
  </w:abstractNum>
  <w:abstractNum w:abstractNumId="22" w15:restartNumberingAfterBreak="0">
    <w:nsid w:val="505A49EB"/>
    <w:multiLevelType w:val="hybridMultilevel"/>
    <w:tmpl w:val="2736A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827732"/>
    <w:multiLevelType w:val="hybridMultilevel"/>
    <w:tmpl w:val="F4D2C354"/>
    <w:lvl w:ilvl="0" w:tplc="AB14BFD8">
      <w:start w:val="16"/>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D62067"/>
    <w:multiLevelType w:val="hybridMultilevel"/>
    <w:tmpl w:val="A79A4026"/>
    <w:lvl w:ilvl="0" w:tplc="47E46768">
      <w:start w:val="1"/>
      <w:numFmt w:val="decimal"/>
      <w:lvlText w:val="%1)"/>
      <w:lvlJc w:val="left"/>
      <w:pPr>
        <w:ind w:left="1020" w:hanging="360"/>
      </w:pPr>
    </w:lvl>
    <w:lvl w:ilvl="1" w:tplc="876E2A44">
      <w:start w:val="1"/>
      <w:numFmt w:val="decimal"/>
      <w:lvlText w:val="%2)"/>
      <w:lvlJc w:val="left"/>
      <w:pPr>
        <w:ind w:left="1020" w:hanging="360"/>
      </w:pPr>
    </w:lvl>
    <w:lvl w:ilvl="2" w:tplc="ED6CF000">
      <w:start w:val="1"/>
      <w:numFmt w:val="decimal"/>
      <w:lvlText w:val="%3)"/>
      <w:lvlJc w:val="left"/>
      <w:pPr>
        <w:ind w:left="1020" w:hanging="360"/>
      </w:pPr>
    </w:lvl>
    <w:lvl w:ilvl="3" w:tplc="BD7A889E">
      <w:start w:val="1"/>
      <w:numFmt w:val="decimal"/>
      <w:lvlText w:val="%4)"/>
      <w:lvlJc w:val="left"/>
      <w:pPr>
        <w:ind w:left="1020" w:hanging="360"/>
      </w:pPr>
    </w:lvl>
    <w:lvl w:ilvl="4" w:tplc="9028F4AE">
      <w:start w:val="1"/>
      <w:numFmt w:val="decimal"/>
      <w:lvlText w:val="%5)"/>
      <w:lvlJc w:val="left"/>
      <w:pPr>
        <w:ind w:left="1020" w:hanging="360"/>
      </w:pPr>
    </w:lvl>
    <w:lvl w:ilvl="5" w:tplc="471A15F8">
      <w:start w:val="1"/>
      <w:numFmt w:val="decimal"/>
      <w:lvlText w:val="%6)"/>
      <w:lvlJc w:val="left"/>
      <w:pPr>
        <w:ind w:left="1020" w:hanging="360"/>
      </w:pPr>
    </w:lvl>
    <w:lvl w:ilvl="6" w:tplc="2BEA281A">
      <w:start w:val="1"/>
      <w:numFmt w:val="decimal"/>
      <w:lvlText w:val="%7)"/>
      <w:lvlJc w:val="left"/>
      <w:pPr>
        <w:ind w:left="1020" w:hanging="360"/>
      </w:pPr>
    </w:lvl>
    <w:lvl w:ilvl="7" w:tplc="F118B2F6">
      <w:start w:val="1"/>
      <w:numFmt w:val="decimal"/>
      <w:lvlText w:val="%8)"/>
      <w:lvlJc w:val="left"/>
      <w:pPr>
        <w:ind w:left="1020" w:hanging="360"/>
      </w:pPr>
    </w:lvl>
    <w:lvl w:ilvl="8" w:tplc="FAB0B38A">
      <w:start w:val="1"/>
      <w:numFmt w:val="decimal"/>
      <w:lvlText w:val="%9)"/>
      <w:lvlJc w:val="left"/>
      <w:pPr>
        <w:ind w:left="1020" w:hanging="360"/>
      </w:pPr>
    </w:lvl>
  </w:abstractNum>
  <w:abstractNum w:abstractNumId="26" w15:restartNumberingAfterBreak="0">
    <w:nsid w:val="5CEC054A"/>
    <w:multiLevelType w:val="multilevel"/>
    <w:tmpl w:val="62D05A8A"/>
    <w:lvl w:ilvl="0">
      <w:start w:val="1"/>
      <w:numFmt w:val="decimal"/>
      <w:isLgl/>
      <w:suff w:val="space"/>
      <w:lvlText w:val="Item %1"/>
      <w:lvlJc w:val="left"/>
      <w:pPr>
        <w:ind w:left="680" w:hanging="680"/>
      </w:pPr>
      <w:rPr>
        <w:rFonts w:ascii="Arial" w:hAnsi="Arial" w:hint="default"/>
        <w:b w:val="0"/>
        <w:bCs/>
        <w:i w:val="0"/>
        <w:caps w:val="0"/>
        <w:sz w:val="32"/>
        <w:szCs w:val="32"/>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1287A92"/>
    <w:multiLevelType w:val="hybridMultilevel"/>
    <w:tmpl w:val="87485D52"/>
    <w:lvl w:ilvl="0" w:tplc="B344A4F6">
      <w:start w:val="1"/>
      <w:numFmt w:val="bullet"/>
      <w:lvlText w:val=""/>
      <w:lvlJc w:val="left"/>
      <w:pPr>
        <w:tabs>
          <w:tab w:val="num" w:pos="720"/>
        </w:tabs>
        <w:ind w:left="720" w:hanging="360"/>
      </w:pPr>
      <w:rPr>
        <w:rFonts w:ascii="Wingdings" w:hAnsi="Wingdings" w:hint="default"/>
      </w:rPr>
    </w:lvl>
    <w:lvl w:ilvl="1" w:tplc="B5168840">
      <w:start w:val="1"/>
      <w:numFmt w:val="bullet"/>
      <w:lvlText w:val=""/>
      <w:lvlJc w:val="left"/>
      <w:pPr>
        <w:tabs>
          <w:tab w:val="num" w:pos="1440"/>
        </w:tabs>
        <w:ind w:left="1440" w:hanging="360"/>
      </w:pPr>
      <w:rPr>
        <w:rFonts w:ascii="Wingdings 2" w:hAnsi="Wingdings 2"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0FB1"/>
    <w:multiLevelType w:val="hybridMultilevel"/>
    <w:tmpl w:val="3ED4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E6124"/>
    <w:multiLevelType w:val="multilevel"/>
    <w:tmpl w:val="B8088798"/>
    <w:lvl w:ilvl="0">
      <w:start w:val="1"/>
      <w:numFmt w:val="decimal"/>
      <w:lvlText w:val="%1."/>
      <w:lvlJc w:val="left"/>
      <w:pPr>
        <w:tabs>
          <w:tab w:val="num" w:pos="822"/>
        </w:tabs>
        <w:ind w:left="822" w:hanging="680"/>
      </w:pPr>
      <w:rPr>
        <w:rFonts w:ascii="Arial Narrow" w:hAnsi="Arial Narrow" w:hint="default"/>
        <w:b w:val="0"/>
        <w:bCs w:val="0"/>
        <w:sz w:val="32"/>
        <w:szCs w:val="32"/>
      </w:rPr>
    </w:lvl>
    <w:lvl w:ilvl="1">
      <w:start w:val="1"/>
      <w:numFmt w:val="decimal"/>
      <w:lvlText w:val="%1.%2"/>
      <w:lvlJc w:val="left"/>
      <w:pPr>
        <w:tabs>
          <w:tab w:val="num" w:pos="822"/>
        </w:tabs>
        <w:ind w:left="822" w:hanging="680"/>
      </w:pPr>
      <w:rPr>
        <w:rFonts w:hint="default"/>
      </w:rPr>
    </w:lvl>
    <w:lvl w:ilvl="2">
      <w:start w:val="1"/>
      <w:numFmt w:val="lowerLetter"/>
      <w:lvlText w:val="(%3)"/>
      <w:lvlJc w:val="left"/>
      <w:pPr>
        <w:tabs>
          <w:tab w:val="num" w:pos="1503"/>
        </w:tabs>
        <w:ind w:left="1503" w:hanging="681"/>
      </w:pPr>
      <w:rPr>
        <w:rFonts w:hint="default"/>
      </w:rPr>
    </w:lvl>
    <w:lvl w:ilvl="3">
      <w:start w:val="1"/>
      <w:numFmt w:val="lowerRoman"/>
      <w:lvlText w:val="(%4)"/>
      <w:lvlJc w:val="left"/>
      <w:pPr>
        <w:tabs>
          <w:tab w:val="num" w:pos="2183"/>
        </w:tabs>
        <w:ind w:left="2183" w:hanging="680"/>
      </w:pPr>
      <w:rPr>
        <w:rFonts w:hint="default"/>
      </w:rPr>
    </w:lvl>
    <w:lvl w:ilvl="4">
      <w:start w:val="1"/>
      <w:numFmt w:val="upperLetter"/>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31" w15:restartNumberingAfterBreak="0">
    <w:nsid w:val="6BCC4A72"/>
    <w:multiLevelType w:val="hybridMultilevel"/>
    <w:tmpl w:val="58F63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3" w15:restartNumberingAfterBreak="0">
    <w:nsid w:val="6E6568BB"/>
    <w:multiLevelType w:val="hybridMultilevel"/>
    <w:tmpl w:val="93E07882"/>
    <w:lvl w:ilvl="0" w:tplc="FB20ABC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42FB1"/>
    <w:multiLevelType w:val="hybridMultilevel"/>
    <w:tmpl w:val="5B64732C"/>
    <w:lvl w:ilvl="0" w:tplc="CA188448">
      <w:start w:val="1"/>
      <w:numFmt w:val="bullet"/>
      <w:lvlText w:val=""/>
      <w:lvlJc w:val="left"/>
      <w:pPr>
        <w:tabs>
          <w:tab w:val="num" w:pos="454"/>
        </w:tabs>
        <w:ind w:left="454" w:hanging="397"/>
      </w:pPr>
      <w:rPr>
        <w:rFonts w:ascii="Symbol" w:hAnsi="Symbol" w:hint="default"/>
        <w:color w:val="333399"/>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75075"/>
    <w:multiLevelType w:val="hybridMultilevel"/>
    <w:tmpl w:val="BCDA98DA"/>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num w:numId="1" w16cid:durableId="1834492370">
    <w:abstractNumId w:val="10"/>
  </w:num>
  <w:num w:numId="2" w16cid:durableId="2049644117">
    <w:abstractNumId w:val="33"/>
  </w:num>
  <w:num w:numId="3" w16cid:durableId="1074165016">
    <w:abstractNumId w:val="27"/>
  </w:num>
  <w:num w:numId="4" w16cid:durableId="1922373023">
    <w:abstractNumId w:val="28"/>
  </w:num>
  <w:num w:numId="5" w16cid:durableId="684790433">
    <w:abstractNumId w:val="16"/>
  </w:num>
  <w:num w:numId="6" w16cid:durableId="1496149872">
    <w:abstractNumId w:val="34"/>
  </w:num>
  <w:num w:numId="7" w16cid:durableId="898176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610523">
    <w:abstractNumId w:val="30"/>
  </w:num>
  <w:num w:numId="9" w16cid:durableId="2040087039">
    <w:abstractNumId w:val="19"/>
  </w:num>
  <w:num w:numId="10" w16cid:durableId="1368726210">
    <w:abstractNumId w:val="24"/>
  </w:num>
  <w:num w:numId="11" w16cid:durableId="1029985022">
    <w:abstractNumId w:val="7"/>
  </w:num>
  <w:num w:numId="12" w16cid:durableId="374699953">
    <w:abstractNumId w:val="6"/>
  </w:num>
  <w:num w:numId="13" w16cid:durableId="1947692041">
    <w:abstractNumId w:val="5"/>
  </w:num>
  <w:num w:numId="14" w16cid:durableId="519012016">
    <w:abstractNumId w:val="4"/>
  </w:num>
  <w:num w:numId="15" w16cid:durableId="978609489">
    <w:abstractNumId w:val="8"/>
  </w:num>
  <w:num w:numId="16" w16cid:durableId="852301949">
    <w:abstractNumId w:val="3"/>
  </w:num>
  <w:num w:numId="17" w16cid:durableId="2066251513">
    <w:abstractNumId w:val="2"/>
  </w:num>
  <w:num w:numId="18" w16cid:durableId="1934896381">
    <w:abstractNumId w:val="1"/>
  </w:num>
  <w:num w:numId="19" w16cid:durableId="1352680233">
    <w:abstractNumId w:val="0"/>
  </w:num>
  <w:num w:numId="20" w16cid:durableId="1519346245">
    <w:abstractNumId w:val="18"/>
  </w:num>
  <w:num w:numId="21" w16cid:durableId="868101787">
    <w:abstractNumId w:val="35"/>
  </w:num>
  <w:num w:numId="22" w16cid:durableId="1566528776">
    <w:abstractNumId w:val="32"/>
  </w:num>
  <w:num w:numId="23" w16cid:durableId="1890190072">
    <w:abstractNumId w:val="22"/>
  </w:num>
  <w:num w:numId="24" w16cid:durableId="351536268">
    <w:abstractNumId w:val="9"/>
  </w:num>
  <w:num w:numId="25" w16cid:durableId="702826012">
    <w:abstractNumId w:val="15"/>
  </w:num>
  <w:num w:numId="26" w16cid:durableId="1903521598">
    <w:abstractNumId w:val="23"/>
  </w:num>
  <w:num w:numId="27" w16cid:durableId="1961718554">
    <w:abstractNumId w:val="12"/>
  </w:num>
  <w:num w:numId="28" w16cid:durableId="228422561">
    <w:abstractNumId w:val="14"/>
  </w:num>
  <w:num w:numId="29" w16cid:durableId="1260723166">
    <w:abstractNumId w:val="20"/>
  </w:num>
  <w:num w:numId="30" w16cid:durableId="1566649569">
    <w:abstractNumId w:val="11"/>
  </w:num>
  <w:num w:numId="31" w16cid:durableId="1162742286">
    <w:abstractNumId w:val="29"/>
  </w:num>
  <w:num w:numId="32" w16cid:durableId="1689603898">
    <w:abstractNumId w:val="17"/>
  </w:num>
  <w:num w:numId="33" w16cid:durableId="1608654806">
    <w:abstractNumId w:val="13"/>
  </w:num>
  <w:num w:numId="34" w16cid:durableId="1755978809">
    <w:abstractNumId w:val="31"/>
  </w:num>
  <w:num w:numId="35" w16cid:durableId="479076501">
    <w:abstractNumId w:val="25"/>
  </w:num>
  <w:num w:numId="36" w16cid:durableId="1425683522">
    <w:abstractNumId w:val="21"/>
  </w:num>
  <w:num w:numId="37" w16cid:durableId="1986085882">
    <w:abstractNumId w:val="33"/>
  </w:num>
  <w:num w:numId="38" w16cid:durableId="165429052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851"/>
  <w:doNotHyphenateCaps/>
  <w:evenAndOddHeaders/>
  <w:displayHorizontalDrawingGridEvery w:val="0"/>
  <w:displayVerticalDrawingGridEvery w:val="0"/>
  <w:doNotUseMarginsForDrawingGridOrigin/>
  <w:noPunctuationKerning/>
  <w:characterSpacingControl w:val="doNotCompress"/>
  <w:hdrShapeDefaults>
    <o:shapedefaults v:ext="edit" spidmax="54273">
      <o:colormru v:ext="edit" colors="#ffc42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TU1sDA1tjC2sDRW0lEKTi0uzszPAykwrAUA+LOwHywAAAA="/>
  </w:docVars>
  <w:rsids>
    <w:rsidRoot w:val="003D4DFA"/>
    <w:rsid w:val="00000A07"/>
    <w:rsid w:val="00000E1E"/>
    <w:rsid w:val="0000102A"/>
    <w:rsid w:val="000010E0"/>
    <w:rsid w:val="000013AD"/>
    <w:rsid w:val="00001684"/>
    <w:rsid w:val="000018FD"/>
    <w:rsid w:val="00001BAC"/>
    <w:rsid w:val="00001C9D"/>
    <w:rsid w:val="000025AE"/>
    <w:rsid w:val="00002C16"/>
    <w:rsid w:val="000036DC"/>
    <w:rsid w:val="000037A0"/>
    <w:rsid w:val="00003D56"/>
    <w:rsid w:val="00004087"/>
    <w:rsid w:val="00004618"/>
    <w:rsid w:val="0000478A"/>
    <w:rsid w:val="00004B8A"/>
    <w:rsid w:val="00004B9E"/>
    <w:rsid w:val="00005343"/>
    <w:rsid w:val="000053B2"/>
    <w:rsid w:val="0000580D"/>
    <w:rsid w:val="00005B2F"/>
    <w:rsid w:val="00005CE1"/>
    <w:rsid w:val="00006033"/>
    <w:rsid w:val="00006185"/>
    <w:rsid w:val="00006A0B"/>
    <w:rsid w:val="00006B0B"/>
    <w:rsid w:val="00006FE3"/>
    <w:rsid w:val="00010494"/>
    <w:rsid w:val="000108B2"/>
    <w:rsid w:val="0001143B"/>
    <w:rsid w:val="000116C6"/>
    <w:rsid w:val="00011880"/>
    <w:rsid w:val="00011B3E"/>
    <w:rsid w:val="00011E5C"/>
    <w:rsid w:val="00011F05"/>
    <w:rsid w:val="0001230F"/>
    <w:rsid w:val="000123FE"/>
    <w:rsid w:val="00012862"/>
    <w:rsid w:val="0001381D"/>
    <w:rsid w:val="000138F5"/>
    <w:rsid w:val="00013B06"/>
    <w:rsid w:val="00013EAF"/>
    <w:rsid w:val="00013FAA"/>
    <w:rsid w:val="0001402A"/>
    <w:rsid w:val="0001402C"/>
    <w:rsid w:val="00014788"/>
    <w:rsid w:val="00014880"/>
    <w:rsid w:val="000148B3"/>
    <w:rsid w:val="0001498D"/>
    <w:rsid w:val="00014E57"/>
    <w:rsid w:val="00014F81"/>
    <w:rsid w:val="000151A7"/>
    <w:rsid w:val="000152B5"/>
    <w:rsid w:val="000154F2"/>
    <w:rsid w:val="00015A6B"/>
    <w:rsid w:val="00016912"/>
    <w:rsid w:val="00020BAB"/>
    <w:rsid w:val="000212C0"/>
    <w:rsid w:val="00021B6C"/>
    <w:rsid w:val="0002225A"/>
    <w:rsid w:val="00022290"/>
    <w:rsid w:val="000228C3"/>
    <w:rsid w:val="00022E60"/>
    <w:rsid w:val="00022E7F"/>
    <w:rsid w:val="0002340E"/>
    <w:rsid w:val="00023CF0"/>
    <w:rsid w:val="0002476A"/>
    <w:rsid w:val="000247D1"/>
    <w:rsid w:val="00024BAE"/>
    <w:rsid w:val="00024E93"/>
    <w:rsid w:val="000253F8"/>
    <w:rsid w:val="00025913"/>
    <w:rsid w:val="00025BFC"/>
    <w:rsid w:val="00026009"/>
    <w:rsid w:val="0002613B"/>
    <w:rsid w:val="0002697B"/>
    <w:rsid w:val="000270D0"/>
    <w:rsid w:val="000270D7"/>
    <w:rsid w:val="000271F5"/>
    <w:rsid w:val="000272B1"/>
    <w:rsid w:val="0002732A"/>
    <w:rsid w:val="0002767E"/>
    <w:rsid w:val="00027964"/>
    <w:rsid w:val="00030610"/>
    <w:rsid w:val="00031454"/>
    <w:rsid w:val="00031503"/>
    <w:rsid w:val="00031530"/>
    <w:rsid w:val="0003191D"/>
    <w:rsid w:val="000323AD"/>
    <w:rsid w:val="00033F16"/>
    <w:rsid w:val="00034D14"/>
    <w:rsid w:val="0003580B"/>
    <w:rsid w:val="000359AF"/>
    <w:rsid w:val="00036871"/>
    <w:rsid w:val="000368AC"/>
    <w:rsid w:val="0003696C"/>
    <w:rsid w:val="00036DED"/>
    <w:rsid w:val="0003735C"/>
    <w:rsid w:val="0003743D"/>
    <w:rsid w:val="0003755F"/>
    <w:rsid w:val="00040030"/>
    <w:rsid w:val="000400B6"/>
    <w:rsid w:val="00040252"/>
    <w:rsid w:val="0004065B"/>
    <w:rsid w:val="000406AD"/>
    <w:rsid w:val="00040A55"/>
    <w:rsid w:val="000412E6"/>
    <w:rsid w:val="00041A4F"/>
    <w:rsid w:val="0004243B"/>
    <w:rsid w:val="00042C19"/>
    <w:rsid w:val="000430F3"/>
    <w:rsid w:val="0004350F"/>
    <w:rsid w:val="000435A6"/>
    <w:rsid w:val="00043C79"/>
    <w:rsid w:val="00043D92"/>
    <w:rsid w:val="0004428C"/>
    <w:rsid w:val="00044383"/>
    <w:rsid w:val="000449EF"/>
    <w:rsid w:val="00044C06"/>
    <w:rsid w:val="00045783"/>
    <w:rsid w:val="000459A2"/>
    <w:rsid w:val="00045E77"/>
    <w:rsid w:val="00045FCF"/>
    <w:rsid w:val="00046012"/>
    <w:rsid w:val="0004610D"/>
    <w:rsid w:val="0004657F"/>
    <w:rsid w:val="000471D6"/>
    <w:rsid w:val="000472E5"/>
    <w:rsid w:val="00047E64"/>
    <w:rsid w:val="00050722"/>
    <w:rsid w:val="00051670"/>
    <w:rsid w:val="0005168A"/>
    <w:rsid w:val="00051698"/>
    <w:rsid w:val="00051878"/>
    <w:rsid w:val="00051ADC"/>
    <w:rsid w:val="00051EFA"/>
    <w:rsid w:val="000533F9"/>
    <w:rsid w:val="00053453"/>
    <w:rsid w:val="000539A4"/>
    <w:rsid w:val="00053A79"/>
    <w:rsid w:val="00053C6D"/>
    <w:rsid w:val="00053EF8"/>
    <w:rsid w:val="00054178"/>
    <w:rsid w:val="000541E3"/>
    <w:rsid w:val="00054209"/>
    <w:rsid w:val="00054F9C"/>
    <w:rsid w:val="000552F4"/>
    <w:rsid w:val="000553DE"/>
    <w:rsid w:val="00055404"/>
    <w:rsid w:val="000558F5"/>
    <w:rsid w:val="000563CA"/>
    <w:rsid w:val="000564D9"/>
    <w:rsid w:val="00056EF9"/>
    <w:rsid w:val="000571DE"/>
    <w:rsid w:val="00057CAF"/>
    <w:rsid w:val="0006029C"/>
    <w:rsid w:val="000607B5"/>
    <w:rsid w:val="000607CF"/>
    <w:rsid w:val="00060A81"/>
    <w:rsid w:val="00060B8F"/>
    <w:rsid w:val="00060BBB"/>
    <w:rsid w:val="0006125F"/>
    <w:rsid w:val="0006161C"/>
    <w:rsid w:val="00061F99"/>
    <w:rsid w:val="000623BA"/>
    <w:rsid w:val="00062671"/>
    <w:rsid w:val="00063889"/>
    <w:rsid w:val="00063B75"/>
    <w:rsid w:val="00063B82"/>
    <w:rsid w:val="00063DBF"/>
    <w:rsid w:val="00063DFB"/>
    <w:rsid w:val="000652B3"/>
    <w:rsid w:val="000656A6"/>
    <w:rsid w:val="00065BC8"/>
    <w:rsid w:val="00065DAE"/>
    <w:rsid w:val="000668B0"/>
    <w:rsid w:val="00066905"/>
    <w:rsid w:val="0006775E"/>
    <w:rsid w:val="00067936"/>
    <w:rsid w:val="00067B2F"/>
    <w:rsid w:val="00067CA2"/>
    <w:rsid w:val="00070658"/>
    <w:rsid w:val="00070736"/>
    <w:rsid w:val="00070C19"/>
    <w:rsid w:val="00071557"/>
    <w:rsid w:val="000716FD"/>
    <w:rsid w:val="0007190F"/>
    <w:rsid w:val="00071CD6"/>
    <w:rsid w:val="000728DC"/>
    <w:rsid w:val="00073334"/>
    <w:rsid w:val="000733B2"/>
    <w:rsid w:val="00073B91"/>
    <w:rsid w:val="00073CA9"/>
    <w:rsid w:val="00073D56"/>
    <w:rsid w:val="00073E9B"/>
    <w:rsid w:val="00074074"/>
    <w:rsid w:val="000741E0"/>
    <w:rsid w:val="00074224"/>
    <w:rsid w:val="00074643"/>
    <w:rsid w:val="000746BE"/>
    <w:rsid w:val="000746F6"/>
    <w:rsid w:val="00074BD4"/>
    <w:rsid w:val="00074FA2"/>
    <w:rsid w:val="000764AD"/>
    <w:rsid w:val="0007680B"/>
    <w:rsid w:val="00076A57"/>
    <w:rsid w:val="00076A86"/>
    <w:rsid w:val="00076BE0"/>
    <w:rsid w:val="00076D1B"/>
    <w:rsid w:val="00076F0B"/>
    <w:rsid w:val="00077019"/>
    <w:rsid w:val="000773FB"/>
    <w:rsid w:val="000778B1"/>
    <w:rsid w:val="000779A8"/>
    <w:rsid w:val="000800D8"/>
    <w:rsid w:val="000808C7"/>
    <w:rsid w:val="00081183"/>
    <w:rsid w:val="0008126C"/>
    <w:rsid w:val="000813B5"/>
    <w:rsid w:val="00081426"/>
    <w:rsid w:val="0008153A"/>
    <w:rsid w:val="00081992"/>
    <w:rsid w:val="00081F66"/>
    <w:rsid w:val="00083A6E"/>
    <w:rsid w:val="00083AE8"/>
    <w:rsid w:val="00083C29"/>
    <w:rsid w:val="00084F12"/>
    <w:rsid w:val="000852E7"/>
    <w:rsid w:val="0008531B"/>
    <w:rsid w:val="00085933"/>
    <w:rsid w:val="00085BBD"/>
    <w:rsid w:val="00085C17"/>
    <w:rsid w:val="00085FE1"/>
    <w:rsid w:val="000867B4"/>
    <w:rsid w:val="0008735E"/>
    <w:rsid w:val="00087C84"/>
    <w:rsid w:val="0009098D"/>
    <w:rsid w:val="0009155A"/>
    <w:rsid w:val="00091A67"/>
    <w:rsid w:val="00091DAC"/>
    <w:rsid w:val="000921C5"/>
    <w:rsid w:val="00092405"/>
    <w:rsid w:val="000930AF"/>
    <w:rsid w:val="0009322F"/>
    <w:rsid w:val="00093258"/>
    <w:rsid w:val="000935B8"/>
    <w:rsid w:val="0009379D"/>
    <w:rsid w:val="000939E6"/>
    <w:rsid w:val="00093EBA"/>
    <w:rsid w:val="00094202"/>
    <w:rsid w:val="0009428C"/>
    <w:rsid w:val="00095060"/>
    <w:rsid w:val="00095119"/>
    <w:rsid w:val="0009545B"/>
    <w:rsid w:val="000959E0"/>
    <w:rsid w:val="00096010"/>
    <w:rsid w:val="000960D5"/>
    <w:rsid w:val="000963B1"/>
    <w:rsid w:val="00096A0F"/>
    <w:rsid w:val="000977E2"/>
    <w:rsid w:val="00097B71"/>
    <w:rsid w:val="00097D62"/>
    <w:rsid w:val="00097E60"/>
    <w:rsid w:val="00097EF9"/>
    <w:rsid w:val="00097F23"/>
    <w:rsid w:val="000A003A"/>
    <w:rsid w:val="000A0D37"/>
    <w:rsid w:val="000A14D7"/>
    <w:rsid w:val="000A1797"/>
    <w:rsid w:val="000A17B7"/>
    <w:rsid w:val="000A1A90"/>
    <w:rsid w:val="000A1F07"/>
    <w:rsid w:val="000A2707"/>
    <w:rsid w:val="000A276B"/>
    <w:rsid w:val="000A2A3F"/>
    <w:rsid w:val="000A2A8C"/>
    <w:rsid w:val="000A3401"/>
    <w:rsid w:val="000A36FF"/>
    <w:rsid w:val="000A387C"/>
    <w:rsid w:val="000A3B9F"/>
    <w:rsid w:val="000A4472"/>
    <w:rsid w:val="000A568A"/>
    <w:rsid w:val="000A608C"/>
    <w:rsid w:val="000A6709"/>
    <w:rsid w:val="000A6794"/>
    <w:rsid w:val="000A6A74"/>
    <w:rsid w:val="000B0095"/>
    <w:rsid w:val="000B0523"/>
    <w:rsid w:val="000B086C"/>
    <w:rsid w:val="000B0C05"/>
    <w:rsid w:val="000B0E23"/>
    <w:rsid w:val="000B1125"/>
    <w:rsid w:val="000B18F2"/>
    <w:rsid w:val="000B1A76"/>
    <w:rsid w:val="000B203A"/>
    <w:rsid w:val="000B26C5"/>
    <w:rsid w:val="000B2D6C"/>
    <w:rsid w:val="000B377A"/>
    <w:rsid w:val="000B382F"/>
    <w:rsid w:val="000B4031"/>
    <w:rsid w:val="000B4C09"/>
    <w:rsid w:val="000B5077"/>
    <w:rsid w:val="000B50A2"/>
    <w:rsid w:val="000B50A6"/>
    <w:rsid w:val="000B58CF"/>
    <w:rsid w:val="000B58E8"/>
    <w:rsid w:val="000B5A5F"/>
    <w:rsid w:val="000B6706"/>
    <w:rsid w:val="000B6A39"/>
    <w:rsid w:val="000B6C85"/>
    <w:rsid w:val="000B6D37"/>
    <w:rsid w:val="000B7177"/>
    <w:rsid w:val="000B74A9"/>
    <w:rsid w:val="000B791D"/>
    <w:rsid w:val="000B7AE7"/>
    <w:rsid w:val="000B7E4A"/>
    <w:rsid w:val="000C0257"/>
    <w:rsid w:val="000C0BD8"/>
    <w:rsid w:val="000C17A3"/>
    <w:rsid w:val="000C17BB"/>
    <w:rsid w:val="000C210B"/>
    <w:rsid w:val="000C248E"/>
    <w:rsid w:val="000C2AF5"/>
    <w:rsid w:val="000C2FAE"/>
    <w:rsid w:val="000C31B9"/>
    <w:rsid w:val="000C3225"/>
    <w:rsid w:val="000C327B"/>
    <w:rsid w:val="000C3456"/>
    <w:rsid w:val="000C3634"/>
    <w:rsid w:val="000C377E"/>
    <w:rsid w:val="000C390A"/>
    <w:rsid w:val="000C3B9F"/>
    <w:rsid w:val="000C400E"/>
    <w:rsid w:val="000C41B6"/>
    <w:rsid w:val="000C4363"/>
    <w:rsid w:val="000C44EB"/>
    <w:rsid w:val="000C467C"/>
    <w:rsid w:val="000C48ED"/>
    <w:rsid w:val="000C511B"/>
    <w:rsid w:val="000C5590"/>
    <w:rsid w:val="000C5614"/>
    <w:rsid w:val="000C5634"/>
    <w:rsid w:val="000C5816"/>
    <w:rsid w:val="000C5974"/>
    <w:rsid w:val="000C5FD8"/>
    <w:rsid w:val="000C6020"/>
    <w:rsid w:val="000C6C1A"/>
    <w:rsid w:val="000C723D"/>
    <w:rsid w:val="000C7F13"/>
    <w:rsid w:val="000C7F37"/>
    <w:rsid w:val="000D0074"/>
    <w:rsid w:val="000D048D"/>
    <w:rsid w:val="000D06D5"/>
    <w:rsid w:val="000D08DB"/>
    <w:rsid w:val="000D1083"/>
    <w:rsid w:val="000D11D2"/>
    <w:rsid w:val="000D1A6A"/>
    <w:rsid w:val="000D1CE1"/>
    <w:rsid w:val="000D2B42"/>
    <w:rsid w:val="000D2B59"/>
    <w:rsid w:val="000D2CF2"/>
    <w:rsid w:val="000D38C1"/>
    <w:rsid w:val="000D439B"/>
    <w:rsid w:val="000D45BE"/>
    <w:rsid w:val="000D492B"/>
    <w:rsid w:val="000D4E13"/>
    <w:rsid w:val="000D5F5C"/>
    <w:rsid w:val="000D6002"/>
    <w:rsid w:val="000D675B"/>
    <w:rsid w:val="000D6E4A"/>
    <w:rsid w:val="000D6F8C"/>
    <w:rsid w:val="000D705B"/>
    <w:rsid w:val="000D7BF4"/>
    <w:rsid w:val="000D7D80"/>
    <w:rsid w:val="000D7EF9"/>
    <w:rsid w:val="000E097E"/>
    <w:rsid w:val="000E0FBB"/>
    <w:rsid w:val="000E11A8"/>
    <w:rsid w:val="000E11A9"/>
    <w:rsid w:val="000E15B5"/>
    <w:rsid w:val="000E1F73"/>
    <w:rsid w:val="000E23FF"/>
    <w:rsid w:val="000E2690"/>
    <w:rsid w:val="000E26BA"/>
    <w:rsid w:val="000E2745"/>
    <w:rsid w:val="000E2A97"/>
    <w:rsid w:val="000E349F"/>
    <w:rsid w:val="000E3DA1"/>
    <w:rsid w:val="000E4235"/>
    <w:rsid w:val="000E506D"/>
    <w:rsid w:val="000E53E5"/>
    <w:rsid w:val="000E5CA2"/>
    <w:rsid w:val="000E5F3B"/>
    <w:rsid w:val="000E630F"/>
    <w:rsid w:val="000E6906"/>
    <w:rsid w:val="000E72F9"/>
    <w:rsid w:val="000E7ACB"/>
    <w:rsid w:val="000E7CD3"/>
    <w:rsid w:val="000F006F"/>
    <w:rsid w:val="000F072A"/>
    <w:rsid w:val="000F2535"/>
    <w:rsid w:val="000F26E2"/>
    <w:rsid w:val="000F334A"/>
    <w:rsid w:val="000F39C6"/>
    <w:rsid w:val="000F3BBF"/>
    <w:rsid w:val="000F4787"/>
    <w:rsid w:val="000F4892"/>
    <w:rsid w:val="000F4D78"/>
    <w:rsid w:val="000F4DDC"/>
    <w:rsid w:val="000F53B3"/>
    <w:rsid w:val="000F558C"/>
    <w:rsid w:val="000F5C33"/>
    <w:rsid w:val="00100003"/>
    <w:rsid w:val="0010060E"/>
    <w:rsid w:val="001008DD"/>
    <w:rsid w:val="001019D6"/>
    <w:rsid w:val="00101A13"/>
    <w:rsid w:val="00101B10"/>
    <w:rsid w:val="00101E59"/>
    <w:rsid w:val="001025D7"/>
    <w:rsid w:val="00103516"/>
    <w:rsid w:val="001037C4"/>
    <w:rsid w:val="001039FF"/>
    <w:rsid w:val="001043E1"/>
    <w:rsid w:val="001044D9"/>
    <w:rsid w:val="00104646"/>
    <w:rsid w:val="00104742"/>
    <w:rsid w:val="0010498E"/>
    <w:rsid w:val="00104B85"/>
    <w:rsid w:val="00104C7A"/>
    <w:rsid w:val="00105374"/>
    <w:rsid w:val="001057B8"/>
    <w:rsid w:val="001058AC"/>
    <w:rsid w:val="00105DBE"/>
    <w:rsid w:val="001060E2"/>
    <w:rsid w:val="00106649"/>
    <w:rsid w:val="00106875"/>
    <w:rsid w:val="00106B04"/>
    <w:rsid w:val="00106B6B"/>
    <w:rsid w:val="00106C20"/>
    <w:rsid w:val="00106F2C"/>
    <w:rsid w:val="0010720C"/>
    <w:rsid w:val="0010761A"/>
    <w:rsid w:val="00107D38"/>
    <w:rsid w:val="00107D40"/>
    <w:rsid w:val="0011058D"/>
    <w:rsid w:val="00110A43"/>
    <w:rsid w:val="00110DFC"/>
    <w:rsid w:val="00111035"/>
    <w:rsid w:val="0011111D"/>
    <w:rsid w:val="001113B1"/>
    <w:rsid w:val="001117DC"/>
    <w:rsid w:val="0011197D"/>
    <w:rsid w:val="00111EF1"/>
    <w:rsid w:val="001128BD"/>
    <w:rsid w:val="00112968"/>
    <w:rsid w:val="00112C9C"/>
    <w:rsid w:val="00112D74"/>
    <w:rsid w:val="00112E24"/>
    <w:rsid w:val="001133B3"/>
    <w:rsid w:val="001136E3"/>
    <w:rsid w:val="00113805"/>
    <w:rsid w:val="001138AC"/>
    <w:rsid w:val="0011398F"/>
    <w:rsid w:val="00113A5B"/>
    <w:rsid w:val="0011526A"/>
    <w:rsid w:val="00115CC1"/>
    <w:rsid w:val="0011629E"/>
    <w:rsid w:val="00116542"/>
    <w:rsid w:val="00116F08"/>
    <w:rsid w:val="00117398"/>
    <w:rsid w:val="001203B1"/>
    <w:rsid w:val="00120627"/>
    <w:rsid w:val="001209BE"/>
    <w:rsid w:val="001209C6"/>
    <w:rsid w:val="00120CEB"/>
    <w:rsid w:val="00120E9C"/>
    <w:rsid w:val="0012106D"/>
    <w:rsid w:val="00121119"/>
    <w:rsid w:val="00121120"/>
    <w:rsid w:val="00121229"/>
    <w:rsid w:val="001219D0"/>
    <w:rsid w:val="00121AD1"/>
    <w:rsid w:val="00121D9A"/>
    <w:rsid w:val="001220BF"/>
    <w:rsid w:val="0012242D"/>
    <w:rsid w:val="00122B3F"/>
    <w:rsid w:val="00122E6C"/>
    <w:rsid w:val="001230FE"/>
    <w:rsid w:val="0012318D"/>
    <w:rsid w:val="00123B5C"/>
    <w:rsid w:val="00123F30"/>
    <w:rsid w:val="001242D1"/>
    <w:rsid w:val="00124438"/>
    <w:rsid w:val="00124A4A"/>
    <w:rsid w:val="00124E32"/>
    <w:rsid w:val="001252B6"/>
    <w:rsid w:val="001254AF"/>
    <w:rsid w:val="001254DD"/>
    <w:rsid w:val="0012559D"/>
    <w:rsid w:val="00125819"/>
    <w:rsid w:val="00125F9F"/>
    <w:rsid w:val="00127084"/>
    <w:rsid w:val="0013013A"/>
    <w:rsid w:val="0013023A"/>
    <w:rsid w:val="0013027C"/>
    <w:rsid w:val="00130812"/>
    <w:rsid w:val="0013109B"/>
    <w:rsid w:val="001314D0"/>
    <w:rsid w:val="00131518"/>
    <w:rsid w:val="001316CE"/>
    <w:rsid w:val="00131C09"/>
    <w:rsid w:val="00131F5C"/>
    <w:rsid w:val="001320FE"/>
    <w:rsid w:val="00132609"/>
    <w:rsid w:val="00133A02"/>
    <w:rsid w:val="00134351"/>
    <w:rsid w:val="00134427"/>
    <w:rsid w:val="0013448F"/>
    <w:rsid w:val="001348B7"/>
    <w:rsid w:val="00134BDB"/>
    <w:rsid w:val="00134DF5"/>
    <w:rsid w:val="001353C4"/>
    <w:rsid w:val="001356F1"/>
    <w:rsid w:val="0013580D"/>
    <w:rsid w:val="00135C75"/>
    <w:rsid w:val="00135FCD"/>
    <w:rsid w:val="001369F7"/>
    <w:rsid w:val="00136CED"/>
    <w:rsid w:val="00136E21"/>
    <w:rsid w:val="0014062A"/>
    <w:rsid w:val="0014134A"/>
    <w:rsid w:val="00141C31"/>
    <w:rsid w:val="001425FA"/>
    <w:rsid w:val="001427EA"/>
    <w:rsid w:val="00142F0A"/>
    <w:rsid w:val="001436F6"/>
    <w:rsid w:val="00143D81"/>
    <w:rsid w:val="00143DA6"/>
    <w:rsid w:val="00143E95"/>
    <w:rsid w:val="00143F43"/>
    <w:rsid w:val="001440F3"/>
    <w:rsid w:val="00144240"/>
    <w:rsid w:val="001442A3"/>
    <w:rsid w:val="001450E8"/>
    <w:rsid w:val="0014522C"/>
    <w:rsid w:val="00146226"/>
    <w:rsid w:val="001466F2"/>
    <w:rsid w:val="001467E4"/>
    <w:rsid w:val="00146B1F"/>
    <w:rsid w:val="0014727E"/>
    <w:rsid w:val="00147788"/>
    <w:rsid w:val="0015004D"/>
    <w:rsid w:val="00150874"/>
    <w:rsid w:val="001509F3"/>
    <w:rsid w:val="00150B98"/>
    <w:rsid w:val="00150C7E"/>
    <w:rsid w:val="0015161F"/>
    <w:rsid w:val="001516AC"/>
    <w:rsid w:val="00151ED1"/>
    <w:rsid w:val="00152117"/>
    <w:rsid w:val="0015258A"/>
    <w:rsid w:val="00152E70"/>
    <w:rsid w:val="001536FE"/>
    <w:rsid w:val="00153C3F"/>
    <w:rsid w:val="00154367"/>
    <w:rsid w:val="001551E9"/>
    <w:rsid w:val="0015560C"/>
    <w:rsid w:val="0015571C"/>
    <w:rsid w:val="00155DFC"/>
    <w:rsid w:val="00155FAD"/>
    <w:rsid w:val="001560CE"/>
    <w:rsid w:val="00156177"/>
    <w:rsid w:val="00156317"/>
    <w:rsid w:val="001564A5"/>
    <w:rsid w:val="00156619"/>
    <w:rsid w:val="00157031"/>
    <w:rsid w:val="001570B8"/>
    <w:rsid w:val="0016007A"/>
    <w:rsid w:val="0016076B"/>
    <w:rsid w:val="001607D2"/>
    <w:rsid w:val="00160B47"/>
    <w:rsid w:val="00160FB2"/>
    <w:rsid w:val="00161006"/>
    <w:rsid w:val="001610B5"/>
    <w:rsid w:val="00161E51"/>
    <w:rsid w:val="0016208A"/>
    <w:rsid w:val="00162316"/>
    <w:rsid w:val="00162CF6"/>
    <w:rsid w:val="00163408"/>
    <w:rsid w:val="00163626"/>
    <w:rsid w:val="001647B6"/>
    <w:rsid w:val="00164816"/>
    <w:rsid w:val="00164962"/>
    <w:rsid w:val="00165049"/>
    <w:rsid w:val="00165105"/>
    <w:rsid w:val="0016569A"/>
    <w:rsid w:val="0016591A"/>
    <w:rsid w:val="00165B94"/>
    <w:rsid w:val="00165F3C"/>
    <w:rsid w:val="00165F49"/>
    <w:rsid w:val="00165FFF"/>
    <w:rsid w:val="00166AEF"/>
    <w:rsid w:val="00167EAC"/>
    <w:rsid w:val="00170631"/>
    <w:rsid w:val="00170745"/>
    <w:rsid w:val="00170B25"/>
    <w:rsid w:val="0017125C"/>
    <w:rsid w:val="0017160A"/>
    <w:rsid w:val="00172059"/>
    <w:rsid w:val="001725BC"/>
    <w:rsid w:val="001728A6"/>
    <w:rsid w:val="00172D16"/>
    <w:rsid w:val="00172F32"/>
    <w:rsid w:val="001733E5"/>
    <w:rsid w:val="00174314"/>
    <w:rsid w:val="001745DC"/>
    <w:rsid w:val="00174852"/>
    <w:rsid w:val="00174CCD"/>
    <w:rsid w:val="00175FFD"/>
    <w:rsid w:val="001760E4"/>
    <w:rsid w:val="001767CC"/>
    <w:rsid w:val="00177366"/>
    <w:rsid w:val="00177462"/>
    <w:rsid w:val="00177542"/>
    <w:rsid w:val="00177E09"/>
    <w:rsid w:val="00180C0D"/>
    <w:rsid w:val="00180E6D"/>
    <w:rsid w:val="00181A0C"/>
    <w:rsid w:val="0018257D"/>
    <w:rsid w:val="00182D1C"/>
    <w:rsid w:val="00182F59"/>
    <w:rsid w:val="00183269"/>
    <w:rsid w:val="00183563"/>
    <w:rsid w:val="0018356B"/>
    <w:rsid w:val="00183F76"/>
    <w:rsid w:val="00184CC2"/>
    <w:rsid w:val="00184E89"/>
    <w:rsid w:val="00186042"/>
    <w:rsid w:val="001862D5"/>
    <w:rsid w:val="0018673E"/>
    <w:rsid w:val="00186762"/>
    <w:rsid w:val="001867F0"/>
    <w:rsid w:val="00186E01"/>
    <w:rsid w:val="0018732B"/>
    <w:rsid w:val="0018799F"/>
    <w:rsid w:val="00187BF6"/>
    <w:rsid w:val="0019009D"/>
    <w:rsid w:val="001906B2"/>
    <w:rsid w:val="001906C1"/>
    <w:rsid w:val="00190A6C"/>
    <w:rsid w:val="00190C9B"/>
    <w:rsid w:val="001917C8"/>
    <w:rsid w:val="00191E0E"/>
    <w:rsid w:val="00191E9E"/>
    <w:rsid w:val="00192566"/>
    <w:rsid w:val="00192660"/>
    <w:rsid w:val="0019301F"/>
    <w:rsid w:val="001934C2"/>
    <w:rsid w:val="001934E4"/>
    <w:rsid w:val="00193547"/>
    <w:rsid w:val="00193B14"/>
    <w:rsid w:val="00193BF3"/>
    <w:rsid w:val="00193CCE"/>
    <w:rsid w:val="001949E2"/>
    <w:rsid w:val="00194A51"/>
    <w:rsid w:val="00194C45"/>
    <w:rsid w:val="00195256"/>
    <w:rsid w:val="0019533A"/>
    <w:rsid w:val="0019535E"/>
    <w:rsid w:val="00195B22"/>
    <w:rsid w:val="00195BA2"/>
    <w:rsid w:val="00195E5E"/>
    <w:rsid w:val="00196065"/>
    <w:rsid w:val="001961D8"/>
    <w:rsid w:val="00196710"/>
    <w:rsid w:val="00196716"/>
    <w:rsid w:val="0019773B"/>
    <w:rsid w:val="001977E2"/>
    <w:rsid w:val="00197F66"/>
    <w:rsid w:val="001A00D0"/>
    <w:rsid w:val="001A01E9"/>
    <w:rsid w:val="001A030E"/>
    <w:rsid w:val="001A0594"/>
    <w:rsid w:val="001A07E2"/>
    <w:rsid w:val="001A0935"/>
    <w:rsid w:val="001A0A75"/>
    <w:rsid w:val="001A0BE4"/>
    <w:rsid w:val="001A1A8B"/>
    <w:rsid w:val="001A2460"/>
    <w:rsid w:val="001A2A7A"/>
    <w:rsid w:val="001A2C6A"/>
    <w:rsid w:val="001A2DFE"/>
    <w:rsid w:val="001A2E6D"/>
    <w:rsid w:val="001A3613"/>
    <w:rsid w:val="001A368B"/>
    <w:rsid w:val="001A4172"/>
    <w:rsid w:val="001A4A6E"/>
    <w:rsid w:val="001A4C7B"/>
    <w:rsid w:val="001A52BB"/>
    <w:rsid w:val="001A5C78"/>
    <w:rsid w:val="001A5EF6"/>
    <w:rsid w:val="001A7472"/>
    <w:rsid w:val="001B003F"/>
    <w:rsid w:val="001B0417"/>
    <w:rsid w:val="001B0659"/>
    <w:rsid w:val="001B08B4"/>
    <w:rsid w:val="001B0B43"/>
    <w:rsid w:val="001B1313"/>
    <w:rsid w:val="001B14DD"/>
    <w:rsid w:val="001B15C2"/>
    <w:rsid w:val="001B184B"/>
    <w:rsid w:val="001B1A81"/>
    <w:rsid w:val="001B1FDA"/>
    <w:rsid w:val="001B2027"/>
    <w:rsid w:val="001B244B"/>
    <w:rsid w:val="001B35C6"/>
    <w:rsid w:val="001B3AE8"/>
    <w:rsid w:val="001B43CF"/>
    <w:rsid w:val="001B4648"/>
    <w:rsid w:val="001B47EA"/>
    <w:rsid w:val="001B49B8"/>
    <w:rsid w:val="001B4A04"/>
    <w:rsid w:val="001B4A4E"/>
    <w:rsid w:val="001B4B15"/>
    <w:rsid w:val="001B4B5E"/>
    <w:rsid w:val="001B538E"/>
    <w:rsid w:val="001B57E2"/>
    <w:rsid w:val="001B5F83"/>
    <w:rsid w:val="001B6323"/>
    <w:rsid w:val="001B63BC"/>
    <w:rsid w:val="001B7066"/>
    <w:rsid w:val="001B7A66"/>
    <w:rsid w:val="001B7BEC"/>
    <w:rsid w:val="001B7DC9"/>
    <w:rsid w:val="001B7E1A"/>
    <w:rsid w:val="001C004A"/>
    <w:rsid w:val="001C041E"/>
    <w:rsid w:val="001C0E2D"/>
    <w:rsid w:val="001C0E89"/>
    <w:rsid w:val="001C15E9"/>
    <w:rsid w:val="001C1B60"/>
    <w:rsid w:val="001C1B8F"/>
    <w:rsid w:val="001C1BB3"/>
    <w:rsid w:val="001C23BF"/>
    <w:rsid w:val="001C25C4"/>
    <w:rsid w:val="001C3DF1"/>
    <w:rsid w:val="001C4348"/>
    <w:rsid w:val="001C4E54"/>
    <w:rsid w:val="001C5232"/>
    <w:rsid w:val="001C56E7"/>
    <w:rsid w:val="001C56F2"/>
    <w:rsid w:val="001C5881"/>
    <w:rsid w:val="001C5CC0"/>
    <w:rsid w:val="001C5D00"/>
    <w:rsid w:val="001C6019"/>
    <w:rsid w:val="001C6205"/>
    <w:rsid w:val="001C66C8"/>
    <w:rsid w:val="001C67CB"/>
    <w:rsid w:val="001C6829"/>
    <w:rsid w:val="001C68AF"/>
    <w:rsid w:val="001C6A5B"/>
    <w:rsid w:val="001C7AAC"/>
    <w:rsid w:val="001C7ABB"/>
    <w:rsid w:val="001C7EB8"/>
    <w:rsid w:val="001D0095"/>
    <w:rsid w:val="001D00EF"/>
    <w:rsid w:val="001D23E2"/>
    <w:rsid w:val="001D2CC9"/>
    <w:rsid w:val="001D3174"/>
    <w:rsid w:val="001D321A"/>
    <w:rsid w:val="001D3DED"/>
    <w:rsid w:val="001D3FAE"/>
    <w:rsid w:val="001D41D7"/>
    <w:rsid w:val="001D430C"/>
    <w:rsid w:val="001D44FA"/>
    <w:rsid w:val="001D45DD"/>
    <w:rsid w:val="001D4672"/>
    <w:rsid w:val="001D4714"/>
    <w:rsid w:val="001D5017"/>
    <w:rsid w:val="001D576D"/>
    <w:rsid w:val="001D66AA"/>
    <w:rsid w:val="001D66C7"/>
    <w:rsid w:val="001D69CB"/>
    <w:rsid w:val="001D7269"/>
    <w:rsid w:val="001D72EC"/>
    <w:rsid w:val="001D7417"/>
    <w:rsid w:val="001E0432"/>
    <w:rsid w:val="001E1419"/>
    <w:rsid w:val="001E159A"/>
    <w:rsid w:val="001E1B8A"/>
    <w:rsid w:val="001E23BA"/>
    <w:rsid w:val="001E2475"/>
    <w:rsid w:val="001E277D"/>
    <w:rsid w:val="001E2950"/>
    <w:rsid w:val="001E3240"/>
    <w:rsid w:val="001E3CF4"/>
    <w:rsid w:val="001E3D82"/>
    <w:rsid w:val="001E3DE5"/>
    <w:rsid w:val="001E3F79"/>
    <w:rsid w:val="001E4023"/>
    <w:rsid w:val="001E4042"/>
    <w:rsid w:val="001E43F4"/>
    <w:rsid w:val="001E44AB"/>
    <w:rsid w:val="001E4A16"/>
    <w:rsid w:val="001E74E2"/>
    <w:rsid w:val="001E7603"/>
    <w:rsid w:val="001E76BB"/>
    <w:rsid w:val="001E789B"/>
    <w:rsid w:val="001E78B7"/>
    <w:rsid w:val="001E7E4A"/>
    <w:rsid w:val="001F0055"/>
    <w:rsid w:val="001F0AD1"/>
    <w:rsid w:val="001F1609"/>
    <w:rsid w:val="001F1904"/>
    <w:rsid w:val="001F1EF5"/>
    <w:rsid w:val="001F1F9C"/>
    <w:rsid w:val="001F23FC"/>
    <w:rsid w:val="001F26A7"/>
    <w:rsid w:val="001F289C"/>
    <w:rsid w:val="001F2E57"/>
    <w:rsid w:val="001F3740"/>
    <w:rsid w:val="001F38C5"/>
    <w:rsid w:val="001F3C32"/>
    <w:rsid w:val="001F4797"/>
    <w:rsid w:val="001F55EB"/>
    <w:rsid w:val="001F5E0B"/>
    <w:rsid w:val="001F663A"/>
    <w:rsid w:val="001F7A28"/>
    <w:rsid w:val="001F7D84"/>
    <w:rsid w:val="002004D0"/>
    <w:rsid w:val="00200626"/>
    <w:rsid w:val="002009D9"/>
    <w:rsid w:val="00200B2C"/>
    <w:rsid w:val="00200D23"/>
    <w:rsid w:val="00200EB5"/>
    <w:rsid w:val="002012A5"/>
    <w:rsid w:val="00201438"/>
    <w:rsid w:val="002015D8"/>
    <w:rsid w:val="002017A2"/>
    <w:rsid w:val="00201B9E"/>
    <w:rsid w:val="002020C6"/>
    <w:rsid w:val="002021B8"/>
    <w:rsid w:val="00202E9C"/>
    <w:rsid w:val="00202EA8"/>
    <w:rsid w:val="00203923"/>
    <w:rsid w:val="00203A19"/>
    <w:rsid w:val="00203B17"/>
    <w:rsid w:val="00203D59"/>
    <w:rsid w:val="0020413D"/>
    <w:rsid w:val="00204A3A"/>
    <w:rsid w:val="00204ECE"/>
    <w:rsid w:val="002052C0"/>
    <w:rsid w:val="00205502"/>
    <w:rsid w:val="00205631"/>
    <w:rsid w:val="002057C6"/>
    <w:rsid w:val="00205D6D"/>
    <w:rsid w:val="00206552"/>
    <w:rsid w:val="00206557"/>
    <w:rsid w:val="002069B2"/>
    <w:rsid w:val="00206E9D"/>
    <w:rsid w:val="00207868"/>
    <w:rsid w:val="00207BCB"/>
    <w:rsid w:val="0021005C"/>
    <w:rsid w:val="0021028E"/>
    <w:rsid w:val="00210796"/>
    <w:rsid w:val="00210B41"/>
    <w:rsid w:val="00210D10"/>
    <w:rsid w:val="00211175"/>
    <w:rsid w:val="002116E0"/>
    <w:rsid w:val="002117EA"/>
    <w:rsid w:val="00211822"/>
    <w:rsid w:val="00211950"/>
    <w:rsid w:val="002128A7"/>
    <w:rsid w:val="00212F45"/>
    <w:rsid w:val="00213986"/>
    <w:rsid w:val="0021478F"/>
    <w:rsid w:val="00214BDE"/>
    <w:rsid w:val="00214ED0"/>
    <w:rsid w:val="00215140"/>
    <w:rsid w:val="002155E4"/>
    <w:rsid w:val="00215B6F"/>
    <w:rsid w:val="00215FE3"/>
    <w:rsid w:val="00216133"/>
    <w:rsid w:val="002168C5"/>
    <w:rsid w:val="002170B3"/>
    <w:rsid w:val="00217D47"/>
    <w:rsid w:val="00217D71"/>
    <w:rsid w:val="00217FDA"/>
    <w:rsid w:val="002202C4"/>
    <w:rsid w:val="0022084D"/>
    <w:rsid w:val="0022089C"/>
    <w:rsid w:val="00220A0A"/>
    <w:rsid w:val="00220E0C"/>
    <w:rsid w:val="0022127E"/>
    <w:rsid w:val="00221646"/>
    <w:rsid w:val="0022165C"/>
    <w:rsid w:val="00221999"/>
    <w:rsid w:val="00221BCC"/>
    <w:rsid w:val="00221C9A"/>
    <w:rsid w:val="00222446"/>
    <w:rsid w:val="0022247F"/>
    <w:rsid w:val="00223914"/>
    <w:rsid w:val="002239F8"/>
    <w:rsid w:val="00224ADE"/>
    <w:rsid w:val="00224B25"/>
    <w:rsid w:val="00224C3D"/>
    <w:rsid w:val="00224CBD"/>
    <w:rsid w:val="00224CF5"/>
    <w:rsid w:val="00225222"/>
    <w:rsid w:val="00225625"/>
    <w:rsid w:val="00225A8D"/>
    <w:rsid w:val="00225F06"/>
    <w:rsid w:val="00226012"/>
    <w:rsid w:val="002272C5"/>
    <w:rsid w:val="00227391"/>
    <w:rsid w:val="002277A9"/>
    <w:rsid w:val="00227869"/>
    <w:rsid w:val="002278AF"/>
    <w:rsid w:val="0023020C"/>
    <w:rsid w:val="0023088D"/>
    <w:rsid w:val="00231020"/>
    <w:rsid w:val="00231248"/>
    <w:rsid w:val="002313B3"/>
    <w:rsid w:val="00231400"/>
    <w:rsid w:val="002316A9"/>
    <w:rsid w:val="0023188A"/>
    <w:rsid w:val="00231C4C"/>
    <w:rsid w:val="00231DA8"/>
    <w:rsid w:val="00231E6A"/>
    <w:rsid w:val="002325C7"/>
    <w:rsid w:val="00233288"/>
    <w:rsid w:val="002336B9"/>
    <w:rsid w:val="00233BFA"/>
    <w:rsid w:val="002340F9"/>
    <w:rsid w:val="002354EF"/>
    <w:rsid w:val="00235889"/>
    <w:rsid w:val="00235D48"/>
    <w:rsid w:val="0023655F"/>
    <w:rsid w:val="00236855"/>
    <w:rsid w:val="00236ACB"/>
    <w:rsid w:val="00236FDC"/>
    <w:rsid w:val="00237512"/>
    <w:rsid w:val="00237A02"/>
    <w:rsid w:val="002403BB"/>
    <w:rsid w:val="002408A2"/>
    <w:rsid w:val="00240CA4"/>
    <w:rsid w:val="00241027"/>
    <w:rsid w:val="0024112A"/>
    <w:rsid w:val="002414EF"/>
    <w:rsid w:val="0024230D"/>
    <w:rsid w:val="00242E13"/>
    <w:rsid w:val="00242F6E"/>
    <w:rsid w:val="0024319E"/>
    <w:rsid w:val="002437D6"/>
    <w:rsid w:val="002439BB"/>
    <w:rsid w:val="00243AD1"/>
    <w:rsid w:val="00243FC9"/>
    <w:rsid w:val="00244172"/>
    <w:rsid w:val="002441F5"/>
    <w:rsid w:val="0024469D"/>
    <w:rsid w:val="00245418"/>
    <w:rsid w:val="002458AD"/>
    <w:rsid w:val="00245BBC"/>
    <w:rsid w:val="00245D0B"/>
    <w:rsid w:val="002462B1"/>
    <w:rsid w:val="00246541"/>
    <w:rsid w:val="0024662D"/>
    <w:rsid w:val="00246AEF"/>
    <w:rsid w:val="00246B7A"/>
    <w:rsid w:val="00246D61"/>
    <w:rsid w:val="00247021"/>
    <w:rsid w:val="00247221"/>
    <w:rsid w:val="00247671"/>
    <w:rsid w:val="00251024"/>
    <w:rsid w:val="0025141F"/>
    <w:rsid w:val="00251FCE"/>
    <w:rsid w:val="00252079"/>
    <w:rsid w:val="002524F6"/>
    <w:rsid w:val="002536C0"/>
    <w:rsid w:val="0025372E"/>
    <w:rsid w:val="00253850"/>
    <w:rsid w:val="00253BB9"/>
    <w:rsid w:val="00253F53"/>
    <w:rsid w:val="002558AB"/>
    <w:rsid w:val="00255F45"/>
    <w:rsid w:val="00256032"/>
    <w:rsid w:val="00256180"/>
    <w:rsid w:val="00256260"/>
    <w:rsid w:val="002562B5"/>
    <w:rsid w:val="002563E7"/>
    <w:rsid w:val="00256935"/>
    <w:rsid w:val="002569B4"/>
    <w:rsid w:val="00256C3A"/>
    <w:rsid w:val="00260549"/>
    <w:rsid w:val="00261043"/>
    <w:rsid w:val="00261579"/>
    <w:rsid w:val="002617A1"/>
    <w:rsid w:val="002619D1"/>
    <w:rsid w:val="0026235D"/>
    <w:rsid w:val="002627CA"/>
    <w:rsid w:val="002628C9"/>
    <w:rsid w:val="00262B49"/>
    <w:rsid w:val="00262BE8"/>
    <w:rsid w:val="00262CE0"/>
    <w:rsid w:val="00263239"/>
    <w:rsid w:val="002634BA"/>
    <w:rsid w:val="00263A95"/>
    <w:rsid w:val="00263EE5"/>
    <w:rsid w:val="00264591"/>
    <w:rsid w:val="002645DE"/>
    <w:rsid w:val="002648EB"/>
    <w:rsid w:val="00264CD6"/>
    <w:rsid w:val="002654F2"/>
    <w:rsid w:val="00265C96"/>
    <w:rsid w:val="00266C39"/>
    <w:rsid w:val="0026724B"/>
    <w:rsid w:val="0026725E"/>
    <w:rsid w:val="00267405"/>
    <w:rsid w:val="00267452"/>
    <w:rsid w:val="00267974"/>
    <w:rsid w:val="00267B00"/>
    <w:rsid w:val="00267FE2"/>
    <w:rsid w:val="00270542"/>
    <w:rsid w:val="00270896"/>
    <w:rsid w:val="00271267"/>
    <w:rsid w:val="00271724"/>
    <w:rsid w:val="00271AFC"/>
    <w:rsid w:val="00271CB6"/>
    <w:rsid w:val="00271EAC"/>
    <w:rsid w:val="00271FC7"/>
    <w:rsid w:val="00272BED"/>
    <w:rsid w:val="00272C98"/>
    <w:rsid w:val="00272D25"/>
    <w:rsid w:val="00272D74"/>
    <w:rsid w:val="00272ED7"/>
    <w:rsid w:val="002730C7"/>
    <w:rsid w:val="0027314D"/>
    <w:rsid w:val="002731A4"/>
    <w:rsid w:val="0027369B"/>
    <w:rsid w:val="00273712"/>
    <w:rsid w:val="00274B90"/>
    <w:rsid w:val="00274C48"/>
    <w:rsid w:val="00274D44"/>
    <w:rsid w:val="00274FFB"/>
    <w:rsid w:val="002753D0"/>
    <w:rsid w:val="0027660F"/>
    <w:rsid w:val="00276F81"/>
    <w:rsid w:val="00277033"/>
    <w:rsid w:val="002770A1"/>
    <w:rsid w:val="002777E2"/>
    <w:rsid w:val="00277AB4"/>
    <w:rsid w:val="002800F0"/>
    <w:rsid w:val="0028019B"/>
    <w:rsid w:val="002805AE"/>
    <w:rsid w:val="002806AB"/>
    <w:rsid w:val="002807DA"/>
    <w:rsid w:val="002807F1"/>
    <w:rsid w:val="00281A2B"/>
    <w:rsid w:val="00281A85"/>
    <w:rsid w:val="00282AB1"/>
    <w:rsid w:val="00283157"/>
    <w:rsid w:val="002831CE"/>
    <w:rsid w:val="0028335F"/>
    <w:rsid w:val="002838F6"/>
    <w:rsid w:val="0028403A"/>
    <w:rsid w:val="0028464B"/>
    <w:rsid w:val="00284A36"/>
    <w:rsid w:val="00284FCB"/>
    <w:rsid w:val="00285211"/>
    <w:rsid w:val="002856FD"/>
    <w:rsid w:val="00285C18"/>
    <w:rsid w:val="00285F61"/>
    <w:rsid w:val="0028600A"/>
    <w:rsid w:val="00286037"/>
    <w:rsid w:val="002861B9"/>
    <w:rsid w:val="00286D55"/>
    <w:rsid w:val="00286DB3"/>
    <w:rsid w:val="00286F82"/>
    <w:rsid w:val="0028709A"/>
    <w:rsid w:val="002870C6"/>
    <w:rsid w:val="002871FE"/>
    <w:rsid w:val="002876D0"/>
    <w:rsid w:val="00287719"/>
    <w:rsid w:val="00287A1C"/>
    <w:rsid w:val="00290108"/>
    <w:rsid w:val="002905EF"/>
    <w:rsid w:val="002914A4"/>
    <w:rsid w:val="002915A5"/>
    <w:rsid w:val="002920B1"/>
    <w:rsid w:val="00292532"/>
    <w:rsid w:val="002929B9"/>
    <w:rsid w:val="00292B5A"/>
    <w:rsid w:val="002936E4"/>
    <w:rsid w:val="002938D8"/>
    <w:rsid w:val="00293F90"/>
    <w:rsid w:val="0029458F"/>
    <w:rsid w:val="00294734"/>
    <w:rsid w:val="002947D3"/>
    <w:rsid w:val="00294ED0"/>
    <w:rsid w:val="0029526F"/>
    <w:rsid w:val="00295314"/>
    <w:rsid w:val="00296478"/>
    <w:rsid w:val="00296F91"/>
    <w:rsid w:val="00297588"/>
    <w:rsid w:val="0029761C"/>
    <w:rsid w:val="0029770B"/>
    <w:rsid w:val="00297875"/>
    <w:rsid w:val="002978C6"/>
    <w:rsid w:val="002979FB"/>
    <w:rsid w:val="00297A12"/>
    <w:rsid w:val="00297D1A"/>
    <w:rsid w:val="00298FD5"/>
    <w:rsid w:val="002A00C9"/>
    <w:rsid w:val="002A0142"/>
    <w:rsid w:val="002A0C9A"/>
    <w:rsid w:val="002A0E1E"/>
    <w:rsid w:val="002A1721"/>
    <w:rsid w:val="002A1789"/>
    <w:rsid w:val="002A184E"/>
    <w:rsid w:val="002A284B"/>
    <w:rsid w:val="002A2BFE"/>
    <w:rsid w:val="002A2C6F"/>
    <w:rsid w:val="002A36F1"/>
    <w:rsid w:val="002A3D99"/>
    <w:rsid w:val="002A3DFC"/>
    <w:rsid w:val="002A40D8"/>
    <w:rsid w:val="002A4132"/>
    <w:rsid w:val="002A4466"/>
    <w:rsid w:val="002A4770"/>
    <w:rsid w:val="002A53C6"/>
    <w:rsid w:val="002A5586"/>
    <w:rsid w:val="002A5D5F"/>
    <w:rsid w:val="002A641C"/>
    <w:rsid w:val="002A68C1"/>
    <w:rsid w:val="002A6BD8"/>
    <w:rsid w:val="002A6D45"/>
    <w:rsid w:val="002A75D8"/>
    <w:rsid w:val="002A7A54"/>
    <w:rsid w:val="002A7CC0"/>
    <w:rsid w:val="002B0021"/>
    <w:rsid w:val="002B0657"/>
    <w:rsid w:val="002B0B2A"/>
    <w:rsid w:val="002B0F6C"/>
    <w:rsid w:val="002B2925"/>
    <w:rsid w:val="002B3D8C"/>
    <w:rsid w:val="002B4224"/>
    <w:rsid w:val="002B47D0"/>
    <w:rsid w:val="002B49B8"/>
    <w:rsid w:val="002B4BB2"/>
    <w:rsid w:val="002B5504"/>
    <w:rsid w:val="002B56D1"/>
    <w:rsid w:val="002B5BAC"/>
    <w:rsid w:val="002B5CEE"/>
    <w:rsid w:val="002B6242"/>
    <w:rsid w:val="002B6CDE"/>
    <w:rsid w:val="002B702D"/>
    <w:rsid w:val="002B72C4"/>
    <w:rsid w:val="002B7588"/>
    <w:rsid w:val="002B75B9"/>
    <w:rsid w:val="002B78E1"/>
    <w:rsid w:val="002C0362"/>
    <w:rsid w:val="002C03CF"/>
    <w:rsid w:val="002C08C3"/>
    <w:rsid w:val="002C108C"/>
    <w:rsid w:val="002C10FE"/>
    <w:rsid w:val="002C1D33"/>
    <w:rsid w:val="002C1E7B"/>
    <w:rsid w:val="002C2B9C"/>
    <w:rsid w:val="002C2D0B"/>
    <w:rsid w:val="002C3485"/>
    <w:rsid w:val="002C4438"/>
    <w:rsid w:val="002C4DDF"/>
    <w:rsid w:val="002C4EDD"/>
    <w:rsid w:val="002C53C7"/>
    <w:rsid w:val="002C5682"/>
    <w:rsid w:val="002C571C"/>
    <w:rsid w:val="002C58AF"/>
    <w:rsid w:val="002C5C25"/>
    <w:rsid w:val="002C61C4"/>
    <w:rsid w:val="002C6231"/>
    <w:rsid w:val="002C630F"/>
    <w:rsid w:val="002C69E1"/>
    <w:rsid w:val="002C6FDB"/>
    <w:rsid w:val="002C712D"/>
    <w:rsid w:val="002C766F"/>
    <w:rsid w:val="002C77D6"/>
    <w:rsid w:val="002D00D6"/>
    <w:rsid w:val="002D02FC"/>
    <w:rsid w:val="002D04EF"/>
    <w:rsid w:val="002D0898"/>
    <w:rsid w:val="002D0CAE"/>
    <w:rsid w:val="002D0F2E"/>
    <w:rsid w:val="002D16BD"/>
    <w:rsid w:val="002D1AAE"/>
    <w:rsid w:val="002D1BC4"/>
    <w:rsid w:val="002D1F03"/>
    <w:rsid w:val="002D2353"/>
    <w:rsid w:val="002D2D1E"/>
    <w:rsid w:val="002D2DF3"/>
    <w:rsid w:val="002D2E03"/>
    <w:rsid w:val="002D2E36"/>
    <w:rsid w:val="002D2EED"/>
    <w:rsid w:val="002D3187"/>
    <w:rsid w:val="002D439B"/>
    <w:rsid w:val="002D61F7"/>
    <w:rsid w:val="002D64E2"/>
    <w:rsid w:val="002D66D5"/>
    <w:rsid w:val="002D6967"/>
    <w:rsid w:val="002D6A73"/>
    <w:rsid w:val="002D7677"/>
    <w:rsid w:val="002D7701"/>
    <w:rsid w:val="002E0698"/>
    <w:rsid w:val="002E0F7A"/>
    <w:rsid w:val="002E1348"/>
    <w:rsid w:val="002E14E6"/>
    <w:rsid w:val="002E196B"/>
    <w:rsid w:val="002E1F17"/>
    <w:rsid w:val="002E1F73"/>
    <w:rsid w:val="002E217F"/>
    <w:rsid w:val="002E2A25"/>
    <w:rsid w:val="002E2F7A"/>
    <w:rsid w:val="002E306D"/>
    <w:rsid w:val="002E373D"/>
    <w:rsid w:val="002E375C"/>
    <w:rsid w:val="002E387F"/>
    <w:rsid w:val="002E39AB"/>
    <w:rsid w:val="002E3D02"/>
    <w:rsid w:val="002E411C"/>
    <w:rsid w:val="002E478E"/>
    <w:rsid w:val="002E50A3"/>
    <w:rsid w:val="002E54AC"/>
    <w:rsid w:val="002E5710"/>
    <w:rsid w:val="002E576B"/>
    <w:rsid w:val="002E5780"/>
    <w:rsid w:val="002E5A91"/>
    <w:rsid w:val="002E61A4"/>
    <w:rsid w:val="002E6704"/>
    <w:rsid w:val="002E6956"/>
    <w:rsid w:val="002E6B2D"/>
    <w:rsid w:val="002E7174"/>
    <w:rsid w:val="002E7208"/>
    <w:rsid w:val="002E73D4"/>
    <w:rsid w:val="002E7974"/>
    <w:rsid w:val="002E7E18"/>
    <w:rsid w:val="002E7FB1"/>
    <w:rsid w:val="002F031D"/>
    <w:rsid w:val="002F0783"/>
    <w:rsid w:val="002F0CFE"/>
    <w:rsid w:val="002F0EFC"/>
    <w:rsid w:val="002F125E"/>
    <w:rsid w:val="002F1DFC"/>
    <w:rsid w:val="002F24F4"/>
    <w:rsid w:val="002F278D"/>
    <w:rsid w:val="002F27E3"/>
    <w:rsid w:val="002F303F"/>
    <w:rsid w:val="002F3167"/>
    <w:rsid w:val="002F3595"/>
    <w:rsid w:val="002F3637"/>
    <w:rsid w:val="002F377B"/>
    <w:rsid w:val="002F3C13"/>
    <w:rsid w:val="002F443A"/>
    <w:rsid w:val="002F4CC4"/>
    <w:rsid w:val="002F4EEF"/>
    <w:rsid w:val="002F50B6"/>
    <w:rsid w:val="002F527F"/>
    <w:rsid w:val="002F5B42"/>
    <w:rsid w:val="002F688A"/>
    <w:rsid w:val="002F7341"/>
    <w:rsid w:val="002F746F"/>
    <w:rsid w:val="002F7517"/>
    <w:rsid w:val="002F75C9"/>
    <w:rsid w:val="002F7DA9"/>
    <w:rsid w:val="00300788"/>
    <w:rsid w:val="00300ED6"/>
    <w:rsid w:val="0030135E"/>
    <w:rsid w:val="00301B94"/>
    <w:rsid w:val="00302845"/>
    <w:rsid w:val="003028F7"/>
    <w:rsid w:val="00302A1E"/>
    <w:rsid w:val="00302A7E"/>
    <w:rsid w:val="00302BFB"/>
    <w:rsid w:val="00302C33"/>
    <w:rsid w:val="00304766"/>
    <w:rsid w:val="00306878"/>
    <w:rsid w:val="0030687B"/>
    <w:rsid w:val="00306F50"/>
    <w:rsid w:val="00306F86"/>
    <w:rsid w:val="00307ED9"/>
    <w:rsid w:val="00307F00"/>
    <w:rsid w:val="003101D1"/>
    <w:rsid w:val="00310A88"/>
    <w:rsid w:val="00311730"/>
    <w:rsid w:val="00311B58"/>
    <w:rsid w:val="00311F87"/>
    <w:rsid w:val="0031236E"/>
    <w:rsid w:val="00312D6A"/>
    <w:rsid w:val="003134B5"/>
    <w:rsid w:val="00313823"/>
    <w:rsid w:val="00313918"/>
    <w:rsid w:val="00313A22"/>
    <w:rsid w:val="003151EF"/>
    <w:rsid w:val="00315BA6"/>
    <w:rsid w:val="00315EDD"/>
    <w:rsid w:val="00316F8C"/>
    <w:rsid w:val="003174CC"/>
    <w:rsid w:val="003201C3"/>
    <w:rsid w:val="00320F12"/>
    <w:rsid w:val="00321575"/>
    <w:rsid w:val="00321A0F"/>
    <w:rsid w:val="00322479"/>
    <w:rsid w:val="00322811"/>
    <w:rsid w:val="00322F18"/>
    <w:rsid w:val="003232B9"/>
    <w:rsid w:val="00323BBC"/>
    <w:rsid w:val="00323C21"/>
    <w:rsid w:val="00324917"/>
    <w:rsid w:val="00324D49"/>
    <w:rsid w:val="003258F6"/>
    <w:rsid w:val="0032656C"/>
    <w:rsid w:val="00326582"/>
    <w:rsid w:val="00326AB3"/>
    <w:rsid w:val="00326F44"/>
    <w:rsid w:val="0032797B"/>
    <w:rsid w:val="00327B44"/>
    <w:rsid w:val="00327D95"/>
    <w:rsid w:val="003312B2"/>
    <w:rsid w:val="00331D59"/>
    <w:rsid w:val="00331DAA"/>
    <w:rsid w:val="0033239F"/>
    <w:rsid w:val="003326D5"/>
    <w:rsid w:val="00332B04"/>
    <w:rsid w:val="003333AA"/>
    <w:rsid w:val="0033376E"/>
    <w:rsid w:val="00333823"/>
    <w:rsid w:val="00334B66"/>
    <w:rsid w:val="0033554A"/>
    <w:rsid w:val="003356D7"/>
    <w:rsid w:val="003357F2"/>
    <w:rsid w:val="003362B6"/>
    <w:rsid w:val="003362E0"/>
    <w:rsid w:val="003364D3"/>
    <w:rsid w:val="0033698E"/>
    <w:rsid w:val="00336DDE"/>
    <w:rsid w:val="003373A6"/>
    <w:rsid w:val="003378CA"/>
    <w:rsid w:val="003378F4"/>
    <w:rsid w:val="00337AA4"/>
    <w:rsid w:val="00337C05"/>
    <w:rsid w:val="00337D22"/>
    <w:rsid w:val="00337FDB"/>
    <w:rsid w:val="0034004F"/>
    <w:rsid w:val="0034043B"/>
    <w:rsid w:val="00340C35"/>
    <w:rsid w:val="00340C7B"/>
    <w:rsid w:val="00340D2A"/>
    <w:rsid w:val="00340F67"/>
    <w:rsid w:val="0034119A"/>
    <w:rsid w:val="0034132B"/>
    <w:rsid w:val="0034158F"/>
    <w:rsid w:val="00342373"/>
    <w:rsid w:val="00342394"/>
    <w:rsid w:val="00342472"/>
    <w:rsid w:val="003426BA"/>
    <w:rsid w:val="003432F3"/>
    <w:rsid w:val="00343921"/>
    <w:rsid w:val="00343A0F"/>
    <w:rsid w:val="00343DCA"/>
    <w:rsid w:val="00343FD3"/>
    <w:rsid w:val="00346034"/>
    <w:rsid w:val="003463F6"/>
    <w:rsid w:val="00346D01"/>
    <w:rsid w:val="00346DD1"/>
    <w:rsid w:val="00346EAF"/>
    <w:rsid w:val="00347174"/>
    <w:rsid w:val="003471A8"/>
    <w:rsid w:val="00347D10"/>
    <w:rsid w:val="003501F5"/>
    <w:rsid w:val="00350B25"/>
    <w:rsid w:val="003514BF"/>
    <w:rsid w:val="003516C2"/>
    <w:rsid w:val="003538AC"/>
    <w:rsid w:val="00353A72"/>
    <w:rsid w:val="00353D46"/>
    <w:rsid w:val="0035458A"/>
    <w:rsid w:val="00355362"/>
    <w:rsid w:val="00355ECD"/>
    <w:rsid w:val="003561B4"/>
    <w:rsid w:val="003567A5"/>
    <w:rsid w:val="00356D27"/>
    <w:rsid w:val="00356E68"/>
    <w:rsid w:val="00357800"/>
    <w:rsid w:val="00357D46"/>
    <w:rsid w:val="003600E8"/>
    <w:rsid w:val="003603A9"/>
    <w:rsid w:val="00360796"/>
    <w:rsid w:val="00360A6C"/>
    <w:rsid w:val="00360F81"/>
    <w:rsid w:val="00360F94"/>
    <w:rsid w:val="00360FAD"/>
    <w:rsid w:val="00360FEE"/>
    <w:rsid w:val="0036101C"/>
    <w:rsid w:val="0036112D"/>
    <w:rsid w:val="003614F8"/>
    <w:rsid w:val="00361B54"/>
    <w:rsid w:val="00361F0E"/>
    <w:rsid w:val="00361FBD"/>
    <w:rsid w:val="003623E9"/>
    <w:rsid w:val="00362D6A"/>
    <w:rsid w:val="00362F89"/>
    <w:rsid w:val="003631EF"/>
    <w:rsid w:val="00363454"/>
    <w:rsid w:val="00364089"/>
    <w:rsid w:val="003640B9"/>
    <w:rsid w:val="003649C7"/>
    <w:rsid w:val="00365100"/>
    <w:rsid w:val="00365635"/>
    <w:rsid w:val="00365671"/>
    <w:rsid w:val="0036571F"/>
    <w:rsid w:val="003662F8"/>
    <w:rsid w:val="0036639C"/>
    <w:rsid w:val="003666D5"/>
    <w:rsid w:val="00366A93"/>
    <w:rsid w:val="00366BD0"/>
    <w:rsid w:val="00366E4E"/>
    <w:rsid w:val="0036738E"/>
    <w:rsid w:val="003701D1"/>
    <w:rsid w:val="00370352"/>
    <w:rsid w:val="003706AC"/>
    <w:rsid w:val="00370DB2"/>
    <w:rsid w:val="003712B5"/>
    <w:rsid w:val="00371375"/>
    <w:rsid w:val="00371A60"/>
    <w:rsid w:val="00372185"/>
    <w:rsid w:val="003723DD"/>
    <w:rsid w:val="00372A46"/>
    <w:rsid w:val="003730FF"/>
    <w:rsid w:val="00373137"/>
    <w:rsid w:val="00373145"/>
    <w:rsid w:val="0037341B"/>
    <w:rsid w:val="00373691"/>
    <w:rsid w:val="00373867"/>
    <w:rsid w:val="003738D5"/>
    <w:rsid w:val="00373FEB"/>
    <w:rsid w:val="00374AA1"/>
    <w:rsid w:val="00374CE7"/>
    <w:rsid w:val="003751F0"/>
    <w:rsid w:val="003755C6"/>
    <w:rsid w:val="0037577C"/>
    <w:rsid w:val="003758BE"/>
    <w:rsid w:val="00375930"/>
    <w:rsid w:val="00375B36"/>
    <w:rsid w:val="003768FC"/>
    <w:rsid w:val="00376C89"/>
    <w:rsid w:val="003779A8"/>
    <w:rsid w:val="00377AD5"/>
    <w:rsid w:val="00380228"/>
    <w:rsid w:val="003802D0"/>
    <w:rsid w:val="00380B38"/>
    <w:rsid w:val="00380FED"/>
    <w:rsid w:val="003810FE"/>
    <w:rsid w:val="00381383"/>
    <w:rsid w:val="00381395"/>
    <w:rsid w:val="003813E4"/>
    <w:rsid w:val="003815F2"/>
    <w:rsid w:val="00381EC4"/>
    <w:rsid w:val="00382159"/>
    <w:rsid w:val="00382383"/>
    <w:rsid w:val="00382399"/>
    <w:rsid w:val="00382982"/>
    <w:rsid w:val="003832C2"/>
    <w:rsid w:val="0038348D"/>
    <w:rsid w:val="00383CEE"/>
    <w:rsid w:val="00383CF4"/>
    <w:rsid w:val="00383D41"/>
    <w:rsid w:val="003841FF"/>
    <w:rsid w:val="003842A7"/>
    <w:rsid w:val="00384340"/>
    <w:rsid w:val="0038492C"/>
    <w:rsid w:val="00384A6A"/>
    <w:rsid w:val="00384CEC"/>
    <w:rsid w:val="00385556"/>
    <w:rsid w:val="003857D4"/>
    <w:rsid w:val="0038629D"/>
    <w:rsid w:val="00386ECB"/>
    <w:rsid w:val="0038705D"/>
    <w:rsid w:val="003878B5"/>
    <w:rsid w:val="00387963"/>
    <w:rsid w:val="00390562"/>
    <w:rsid w:val="00390898"/>
    <w:rsid w:val="0039109C"/>
    <w:rsid w:val="0039109D"/>
    <w:rsid w:val="003914BB"/>
    <w:rsid w:val="003919AB"/>
    <w:rsid w:val="00391A39"/>
    <w:rsid w:val="00391B85"/>
    <w:rsid w:val="00391F03"/>
    <w:rsid w:val="0039263D"/>
    <w:rsid w:val="003927D7"/>
    <w:rsid w:val="00392ABB"/>
    <w:rsid w:val="00393512"/>
    <w:rsid w:val="00393557"/>
    <w:rsid w:val="00393A7A"/>
    <w:rsid w:val="00394315"/>
    <w:rsid w:val="003945CB"/>
    <w:rsid w:val="00394A23"/>
    <w:rsid w:val="003951A9"/>
    <w:rsid w:val="00395440"/>
    <w:rsid w:val="00395447"/>
    <w:rsid w:val="00395664"/>
    <w:rsid w:val="00396548"/>
    <w:rsid w:val="00396DAC"/>
    <w:rsid w:val="00396F12"/>
    <w:rsid w:val="003971BD"/>
    <w:rsid w:val="003971E7"/>
    <w:rsid w:val="00397376"/>
    <w:rsid w:val="003977C0"/>
    <w:rsid w:val="00397E44"/>
    <w:rsid w:val="00397F16"/>
    <w:rsid w:val="003A009F"/>
    <w:rsid w:val="003A08DA"/>
    <w:rsid w:val="003A1FA4"/>
    <w:rsid w:val="003A20A2"/>
    <w:rsid w:val="003A262C"/>
    <w:rsid w:val="003A27D1"/>
    <w:rsid w:val="003A2ACD"/>
    <w:rsid w:val="003A2E2A"/>
    <w:rsid w:val="003A3C7E"/>
    <w:rsid w:val="003A419F"/>
    <w:rsid w:val="003A6691"/>
    <w:rsid w:val="003A6F45"/>
    <w:rsid w:val="003A704F"/>
    <w:rsid w:val="003A7AAF"/>
    <w:rsid w:val="003B0363"/>
    <w:rsid w:val="003B0368"/>
    <w:rsid w:val="003B0BFA"/>
    <w:rsid w:val="003B0F4E"/>
    <w:rsid w:val="003B16DA"/>
    <w:rsid w:val="003B2792"/>
    <w:rsid w:val="003B2CC7"/>
    <w:rsid w:val="003B2E31"/>
    <w:rsid w:val="003B303A"/>
    <w:rsid w:val="003B483E"/>
    <w:rsid w:val="003B4A39"/>
    <w:rsid w:val="003B4A3A"/>
    <w:rsid w:val="003B4E46"/>
    <w:rsid w:val="003B5404"/>
    <w:rsid w:val="003B5652"/>
    <w:rsid w:val="003B5D9E"/>
    <w:rsid w:val="003B5EA1"/>
    <w:rsid w:val="003B60C3"/>
    <w:rsid w:val="003B6697"/>
    <w:rsid w:val="003B6A72"/>
    <w:rsid w:val="003B7389"/>
    <w:rsid w:val="003B7B66"/>
    <w:rsid w:val="003B7CAC"/>
    <w:rsid w:val="003B7CB1"/>
    <w:rsid w:val="003B7E83"/>
    <w:rsid w:val="003C00E9"/>
    <w:rsid w:val="003C04B1"/>
    <w:rsid w:val="003C0EFA"/>
    <w:rsid w:val="003C0F98"/>
    <w:rsid w:val="003C105F"/>
    <w:rsid w:val="003C1193"/>
    <w:rsid w:val="003C120D"/>
    <w:rsid w:val="003C13E5"/>
    <w:rsid w:val="003C1A37"/>
    <w:rsid w:val="003C1CD8"/>
    <w:rsid w:val="003C206A"/>
    <w:rsid w:val="003C2344"/>
    <w:rsid w:val="003C2490"/>
    <w:rsid w:val="003C2703"/>
    <w:rsid w:val="003C297F"/>
    <w:rsid w:val="003C2CF4"/>
    <w:rsid w:val="003C2F42"/>
    <w:rsid w:val="003C2F58"/>
    <w:rsid w:val="003C36CB"/>
    <w:rsid w:val="003C4C85"/>
    <w:rsid w:val="003C5BC1"/>
    <w:rsid w:val="003C5CB1"/>
    <w:rsid w:val="003C627F"/>
    <w:rsid w:val="003C631E"/>
    <w:rsid w:val="003C63C6"/>
    <w:rsid w:val="003C6C85"/>
    <w:rsid w:val="003C6D97"/>
    <w:rsid w:val="003C71C8"/>
    <w:rsid w:val="003C764B"/>
    <w:rsid w:val="003C77AF"/>
    <w:rsid w:val="003C7BFE"/>
    <w:rsid w:val="003D0074"/>
    <w:rsid w:val="003D01DA"/>
    <w:rsid w:val="003D1457"/>
    <w:rsid w:val="003D14BA"/>
    <w:rsid w:val="003D1D95"/>
    <w:rsid w:val="003D1F25"/>
    <w:rsid w:val="003D2164"/>
    <w:rsid w:val="003D32DD"/>
    <w:rsid w:val="003D3C3E"/>
    <w:rsid w:val="003D47D0"/>
    <w:rsid w:val="003D4B3E"/>
    <w:rsid w:val="003D4DFA"/>
    <w:rsid w:val="003D5142"/>
    <w:rsid w:val="003D5517"/>
    <w:rsid w:val="003D59DA"/>
    <w:rsid w:val="003D5AB0"/>
    <w:rsid w:val="003D6A3C"/>
    <w:rsid w:val="003D6B1E"/>
    <w:rsid w:val="003D6B2C"/>
    <w:rsid w:val="003D7453"/>
    <w:rsid w:val="003D785F"/>
    <w:rsid w:val="003E082B"/>
    <w:rsid w:val="003E188D"/>
    <w:rsid w:val="003E22B2"/>
    <w:rsid w:val="003E22C5"/>
    <w:rsid w:val="003E22FE"/>
    <w:rsid w:val="003E25D8"/>
    <w:rsid w:val="003E25E5"/>
    <w:rsid w:val="003E274E"/>
    <w:rsid w:val="003E2D2D"/>
    <w:rsid w:val="003E3031"/>
    <w:rsid w:val="003E3046"/>
    <w:rsid w:val="003E3055"/>
    <w:rsid w:val="003E395B"/>
    <w:rsid w:val="003E4167"/>
    <w:rsid w:val="003E43C1"/>
    <w:rsid w:val="003E4566"/>
    <w:rsid w:val="003E5210"/>
    <w:rsid w:val="003E5942"/>
    <w:rsid w:val="003E6018"/>
    <w:rsid w:val="003E6738"/>
    <w:rsid w:val="003E67CB"/>
    <w:rsid w:val="003E6DD7"/>
    <w:rsid w:val="003E7119"/>
    <w:rsid w:val="003E7139"/>
    <w:rsid w:val="003E7504"/>
    <w:rsid w:val="003E753B"/>
    <w:rsid w:val="003E75CD"/>
    <w:rsid w:val="003E77BF"/>
    <w:rsid w:val="003E798E"/>
    <w:rsid w:val="003F00E9"/>
    <w:rsid w:val="003F047A"/>
    <w:rsid w:val="003F064E"/>
    <w:rsid w:val="003F0726"/>
    <w:rsid w:val="003F07A7"/>
    <w:rsid w:val="003F0E7E"/>
    <w:rsid w:val="003F10C3"/>
    <w:rsid w:val="003F1DE1"/>
    <w:rsid w:val="003F25A0"/>
    <w:rsid w:val="003F2865"/>
    <w:rsid w:val="003F3396"/>
    <w:rsid w:val="003F37A7"/>
    <w:rsid w:val="003F3ED6"/>
    <w:rsid w:val="003F3F14"/>
    <w:rsid w:val="003F3FF3"/>
    <w:rsid w:val="003F445B"/>
    <w:rsid w:val="003F46D7"/>
    <w:rsid w:val="003F4A24"/>
    <w:rsid w:val="003F52C7"/>
    <w:rsid w:val="003F5782"/>
    <w:rsid w:val="003F582C"/>
    <w:rsid w:val="003F5B20"/>
    <w:rsid w:val="003F6BEB"/>
    <w:rsid w:val="003F71B1"/>
    <w:rsid w:val="003F7603"/>
    <w:rsid w:val="003F76A8"/>
    <w:rsid w:val="003F79B3"/>
    <w:rsid w:val="003F7C39"/>
    <w:rsid w:val="0040040C"/>
    <w:rsid w:val="00400693"/>
    <w:rsid w:val="004013C3"/>
    <w:rsid w:val="00401C10"/>
    <w:rsid w:val="00401E64"/>
    <w:rsid w:val="0040206C"/>
    <w:rsid w:val="0040232F"/>
    <w:rsid w:val="00402830"/>
    <w:rsid w:val="00402C0C"/>
    <w:rsid w:val="0040322D"/>
    <w:rsid w:val="004036A3"/>
    <w:rsid w:val="00403755"/>
    <w:rsid w:val="00404658"/>
    <w:rsid w:val="0040473D"/>
    <w:rsid w:val="0040496C"/>
    <w:rsid w:val="00405347"/>
    <w:rsid w:val="0040567E"/>
    <w:rsid w:val="00405D39"/>
    <w:rsid w:val="004060B2"/>
    <w:rsid w:val="00406831"/>
    <w:rsid w:val="00406BB7"/>
    <w:rsid w:val="004070C3"/>
    <w:rsid w:val="004076FA"/>
    <w:rsid w:val="004103BC"/>
    <w:rsid w:val="00410B53"/>
    <w:rsid w:val="0041168A"/>
    <w:rsid w:val="0041192B"/>
    <w:rsid w:val="00411CD2"/>
    <w:rsid w:val="00411DD5"/>
    <w:rsid w:val="00411EEF"/>
    <w:rsid w:val="004121F0"/>
    <w:rsid w:val="004122DC"/>
    <w:rsid w:val="004124F2"/>
    <w:rsid w:val="00412E9B"/>
    <w:rsid w:val="0041335F"/>
    <w:rsid w:val="00414352"/>
    <w:rsid w:val="00415097"/>
    <w:rsid w:val="00415345"/>
    <w:rsid w:val="004154E1"/>
    <w:rsid w:val="00415AB4"/>
    <w:rsid w:val="00415ECD"/>
    <w:rsid w:val="0041616C"/>
    <w:rsid w:val="0041625C"/>
    <w:rsid w:val="00416464"/>
    <w:rsid w:val="004166B0"/>
    <w:rsid w:val="0041672A"/>
    <w:rsid w:val="00416C46"/>
    <w:rsid w:val="00417246"/>
    <w:rsid w:val="00417750"/>
    <w:rsid w:val="00420200"/>
    <w:rsid w:val="00420AC5"/>
    <w:rsid w:val="00420C55"/>
    <w:rsid w:val="00420F6A"/>
    <w:rsid w:val="0042104D"/>
    <w:rsid w:val="004210D2"/>
    <w:rsid w:val="00421A36"/>
    <w:rsid w:val="004222D5"/>
    <w:rsid w:val="00422C09"/>
    <w:rsid w:val="00422E14"/>
    <w:rsid w:val="00423CEF"/>
    <w:rsid w:val="00423F85"/>
    <w:rsid w:val="00424885"/>
    <w:rsid w:val="00424F1D"/>
    <w:rsid w:val="0042556F"/>
    <w:rsid w:val="00426B73"/>
    <w:rsid w:val="00426C8E"/>
    <w:rsid w:val="00426FDA"/>
    <w:rsid w:val="0042709D"/>
    <w:rsid w:val="004276CA"/>
    <w:rsid w:val="00430110"/>
    <w:rsid w:val="00430892"/>
    <w:rsid w:val="004308DF"/>
    <w:rsid w:val="00430CC1"/>
    <w:rsid w:val="00430D46"/>
    <w:rsid w:val="004315BB"/>
    <w:rsid w:val="0043195F"/>
    <w:rsid w:val="00432394"/>
    <w:rsid w:val="0043268F"/>
    <w:rsid w:val="004328BE"/>
    <w:rsid w:val="00432DC3"/>
    <w:rsid w:val="00432EFA"/>
    <w:rsid w:val="00432F30"/>
    <w:rsid w:val="00433188"/>
    <w:rsid w:val="004333BC"/>
    <w:rsid w:val="004336E2"/>
    <w:rsid w:val="004341D2"/>
    <w:rsid w:val="004347F2"/>
    <w:rsid w:val="00434B1A"/>
    <w:rsid w:val="00434D97"/>
    <w:rsid w:val="00435811"/>
    <w:rsid w:val="004359F6"/>
    <w:rsid w:val="00435F84"/>
    <w:rsid w:val="00435FD1"/>
    <w:rsid w:val="004366BE"/>
    <w:rsid w:val="00436E76"/>
    <w:rsid w:val="0043740B"/>
    <w:rsid w:val="0043772B"/>
    <w:rsid w:val="00440172"/>
    <w:rsid w:val="00440463"/>
    <w:rsid w:val="00440869"/>
    <w:rsid w:val="00440E75"/>
    <w:rsid w:val="00441CF2"/>
    <w:rsid w:val="00441D4D"/>
    <w:rsid w:val="00441F24"/>
    <w:rsid w:val="004424B8"/>
    <w:rsid w:val="00443337"/>
    <w:rsid w:val="00443659"/>
    <w:rsid w:val="004436F3"/>
    <w:rsid w:val="00443844"/>
    <w:rsid w:val="004439CF"/>
    <w:rsid w:val="00444483"/>
    <w:rsid w:val="00444C87"/>
    <w:rsid w:val="004467BA"/>
    <w:rsid w:val="004467C9"/>
    <w:rsid w:val="00446BEA"/>
    <w:rsid w:val="00446E82"/>
    <w:rsid w:val="004473CE"/>
    <w:rsid w:val="00447752"/>
    <w:rsid w:val="00447D28"/>
    <w:rsid w:val="00450026"/>
    <w:rsid w:val="00450AD2"/>
    <w:rsid w:val="00451A96"/>
    <w:rsid w:val="00451E7D"/>
    <w:rsid w:val="00452058"/>
    <w:rsid w:val="00452078"/>
    <w:rsid w:val="00452172"/>
    <w:rsid w:val="00452230"/>
    <w:rsid w:val="00452372"/>
    <w:rsid w:val="00453A54"/>
    <w:rsid w:val="00453C97"/>
    <w:rsid w:val="00454A6D"/>
    <w:rsid w:val="00454DA7"/>
    <w:rsid w:val="00455764"/>
    <w:rsid w:val="0045593A"/>
    <w:rsid w:val="00455D2A"/>
    <w:rsid w:val="00456222"/>
    <w:rsid w:val="004564F1"/>
    <w:rsid w:val="00456AF9"/>
    <w:rsid w:val="00456C1D"/>
    <w:rsid w:val="00457559"/>
    <w:rsid w:val="00460111"/>
    <w:rsid w:val="0046042F"/>
    <w:rsid w:val="004604CA"/>
    <w:rsid w:val="00460ADF"/>
    <w:rsid w:val="00461009"/>
    <w:rsid w:val="004615FC"/>
    <w:rsid w:val="0046182F"/>
    <w:rsid w:val="00461A79"/>
    <w:rsid w:val="00461C5C"/>
    <w:rsid w:val="00461D04"/>
    <w:rsid w:val="00462129"/>
    <w:rsid w:val="00462480"/>
    <w:rsid w:val="004624A8"/>
    <w:rsid w:val="0046271D"/>
    <w:rsid w:val="00462BC8"/>
    <w:rsid w:val="00462FE2"/>
    <w:rsid w:val="0046453D"/>
    <w:rsid w:val="00464670"/>
    <w:rsid w:val="00464A3B"/>
    <w:rsid w:val="00465B4F"/>
    <w:rsid w:val="00465DA6"/>
    <w:rsid w:val="0046635B"/>
    <w:rsid w:val="0046667B"/>
    <w:rsid w:val="0046670E"/>
    <w:rsid w:val="00466B9C"/>
    <w:rsid w:val="004673A8"/>
    <w:rsid w:val="00467406"/>
    <w:rsid w:val="004679DE"/>
    <w:rsid w:val="00467E32"/>
    <w:rsid w:val="00467EC2"/>
    <w:rsid w:val="00470123"/>
    <w:rsid w:val="00471596"/>
    <w:rsid w:val="00471872"/>
    <w:rsid w:val="0047194F"/>
    <w:rsid w:val="00471DB4"/>
    <w:rsid w:val="00471EFC"/>
    <w:rsid w:val="00471F81"/>
    <w:rsid w:val="0047205D"/>
    <w:rsid w:val="0047224C"/>
    <w:rsid w:val="004724E8"/>
    <w:rsid w:val="004726D2"/>
    <w:rsid w:val="00472706"/>
    <w:rsid w:val="004727DA"/>
    <w:rsid w:val="00472A09"/>
    <w:rsid w:val="0047327C"/>
    <w:rsid w:val="004733E5"/>
    <w:rsid w:val="004737B5"/>
    <w:rsid w:val="004739A5"/>
    <w:rsid w:val="00473B59"/>
    <w:rsid w:val="00473BDA"/>
    <w:rsid w:val="00473E22"/>
    <w:rsid w:val="0047448A"/>
    <w:rsid w:val="004746E8"/>
    <w:rsid w:val="00474B4F"/>
    <w:rsid w:val="004758D8"/>
    <w:rsid w:val="00475C3E"/>
    <w:rsid w:val="00475CD3"/>
    <w:rsid w:val="00475D89"/>
    <w:rsid w:val="00476483"/>
    <w:rsid w:val="0047651B"/>
    <w:rsid w:val="00476F19"/>
    <w:rsid w:val="0047788A"/>
    <w:rsid w:val="00477A91"/>
    <w:rsid w:val="0048032C"/>
    <w:rsid w:val="00481B5F"/>
    <w:rsid w:val="00482446"/>
    <w:rsid w:val="00483332"/>
    <w:rsid w:val="00483691"/>
    <w:rsid w:val="004838E6"/>
    <w:rsid w:val="004848F8"/>
    <w:rsid w:val="00484C8F"/>
    <w:rsid w:val="00484CAA"/>
    <w:rsid w:val="00484E47"/>
    <w:rsid w:val="00484E70"/>
    <w:rsid w:val="00485D96"/>
    <w:rsid w:val="0048689E"/>
    <w:rsid w:val="00486925"/>
    <w:rsid w:val="004869C2"/>
    <w:rsid w:val="00486E71"/>
    <w:rsid w:val="00486F9A"/>
    <w:rsid w:val="0048713A"/>
    <w:rsid w:val="0048757E"/>
    <w:rsid w:val="00487839"/>
    <w:rsid w:val="00490076"/>
    <w:rsid w:val="004904DD"/>
    <w:rsid w:val="0049059D"/>
    <w:rsid w:val="004905B1"/>
    <w:rsid w:val="004905D9"/>
    <w:rsid w:val="00490C02"/>
    <w:rsid w:val="00490DD2"/>
    <w:rsid w:val="004919C0"/>
    <w:rsid w:val="00491F57"/>
    <w:rsid w:val="0049204C"/>
    <w:rsid w:val="00492B80"/>
    <w:rsid w:val="00492D7A"/>
    <w:rsid w:val="004933F7"/>
    <w:rsid w:val="00493DF7"/>
    <w:rsid w:val="00493EF0"/>
    <w:rsid w:val="00493F27"/>
    <w:rsid w:val="004943F4"/>
    <w:rsid w:val="004946A5"/>
    <w:rsid w:val="00494BCD"/>
    <w:rsid w:val="00494DC7"/>
    <w:rsid w:val="00495458"/>
    <w:rsid w:val="004956C5"/>
    <w:rsid w:val="004957C7"/>
    <w:rsid w:val="00495AE7"/>
    <w:rsid w:val="00496934"/>
    <w:rsid w:val="00496CB9"/>
    <w:rsid w:val="00496EEC"/>
    <w:rsid w:val="00496FD5"/>
    <w:rsid w:val="00496FFE"/>
    <w:rsid w:val="004972B3"/>
    <w:rsid w:val="004973E1"/>
    <w:rsid w:val="00497961"/>
    <w:rsid w:val="004A00E9"/>
    <w:rsid w:val="004A015A"/>
    <w:rsid w:val="004A080C"/>
    <w:rsid w:val="004A0F0C"/>
    <w:rsid w:val="004A0F12"/>
    <w:rsid w:val="004A1006"/>
    <w:rsid w:val="004A200A"/>
    <w:rsid w:val="004A2416"/>
    <w:rsid w:val="004A2720"/>
    <w:rsid w:val="004A2B7C"/>
    <w:rsid w:val="004A2D63"/>
    <w:rsid w:val="004A329E"/>
    <w:rsid w:val="004A363E"/>
    <w:rsid w:val="004A3ED6"/>
    <w:rsid w:val="004A449A"/>
    <w:rsid w:val="004A4566"/>
    <w:rsid w:val="004A4A54"/>
    <w:rsid w:val="004A4C2D"/>
    <w:rsid w:val="004A4E60"/>
    <w:rsid w:val="004A5218"/>
    <w:rsid w:val="004A54E9"/>
    <w:rsid w:val="004A558A"/>
    <w:rsid w:val="004A5B04"/>
    <w:rsid w:val="004A5C82"/>
    <w:rsid w:val="004A5F27"/>
    <w:rsid w:val="004A5F83"/>
    <w:rsid w:val="004A6357"/>
    <w:rsid w:val="004A6740"/>
    <w:rsid w:val="004A6A3D"/>
    <w:rsid w:val="004A7755"/>
    <w:rsid w:val="004A7B89"/>
    <w:rsid w:val="004B031A"/>
    <w:rsid w:val="004B05D7"/>
    <w:rsid w:val="004B0DB7"/>
    <w:rsid w:val="004B0EBB"/>
    <w:rsid w:val="004B0FE7"/>
    <w:rsid w:val="004B17C8"/>
    <w:rsid w:val="004B190D"/>
    <w:rsid w:val="004B1955"/>
    <w:rsid w:val="004B37C7"/>
    <w:rsid w:val="004B3A90"/>
    <w:rsid w:val="004B440E"/>
    <w:rsid w:val="004B481C"/>
    <w:rsid w:val="004B4915"/>
    <w:rsid w:val="004B491D"/>
    <w:rsid w:val="004B4F28"/>
    <w:rsid w:val="004B55E8"/>
    <w:rsid w:val="004B5AF7"/>
    <w:rsid w:val="004B5E86"/>
    <w:rsid w:val="004B6248"/>
    <w:rsid w:val="004B62A8"/>
    <w:rsid w:val="004B6831"/>
    <w:rsid w:val="004B75BC"/>
    <w:rsid w:val="004B7A03"/>
    <w:rsid w:val="004B7C98"/>
    <w:rsid w:val="004C042F"/>
    <w:rsid w:val="004C097B"/>
    <w:rsid w:val="004C1717"/>
    <w:rsid w:val="004C1926"/>
    <w:rsid w:val="004C1B2D"/>
    <w:rsid w:val="004C1D57"/>
    <w:rsid w:val="004C22E3"/>
    <w:rsid w:val="004C244F"/>
    <w:rsid w:val="004C2D8A"/>
    <w:rsid w:val="004C3018"/>
    <w:rsid w:val="004C3274"/>
    <w:rsid w:val="004C33AA"/>
    <w:rsid w:val="004C3A82"/>
    <w:rsid w:val="004C3DEC"/>
    <w:rsid w:val="004C46E1"/>
    <w:rsid w:val="004C5157"/>
    <w:rsid w:val="004C5530"/>
    <w:rsid w:val="004C5930"/>
    <w:rsid w:val="004C61DC"/>
    <w:rsid w:val="004C629C"/>
    <w:rsid w:val="004C630C"/>
    <w:rsid w:val="004C6E22"/>
    <w:rsid w:val="004C6E41"/>
    <w:rsid w:val="004C751A"/>
    <w:rsid w:val="004C7C41"/>
    <w:rsid w:val="004C7FF8"/>
    <w:rsid w:val="004D0266"/>
    <w:rsid w:val="004D0813"/>
    <w:rsid w:val="004D0EB3"/>
    <w:rsid w:val="004D134A"/>
    <w:rsid w:val="004D1659"/>
    <w:rsid w:val="004D1E77"/>
    <w:rsid w:val="004D25CC"/>
    <w:rsid w:val="004D2B25"/>
    <w:rsid w:val="004D2F25"/>
    <w:rsid w:val="004D320E"/>
    <w:rsid w:val="004D3406"/>
    <w:rsid w:val="004D3C0B"/>
    <w:rsid w:val="004D3CCC"/>
    <w:rsid w:val="004D3E85"/>
    <w:rsid w:val="004D46EF"/>
    <w:rsid w:val="004D4778"/>
    <w:rsid w:val="004D4974"/>
    <w:rsid w:val="004D502D"/>
    <w:rsid w:val="004D5210"/>
    <w:rsid w:val="004D5257"/>
    <w:rsid w:val="004D53FE"/>
    <w:rsid w:val="004D565B"/>
    <w:rsid w:val="004D5E65"/>
    <w:rsid w:val="004D736E"/>
    <w:rsid w:val="004D7774"/>
    <w:rsid w:val="004D7DD8"/>
    <w:rsid w:val="004E08BA"/>
    <w:rsid w:val="004E0D0C"/>
    <w:rsid w:val="004E0DA2"/>
    <w:rsid w:val="004E194E"/>
    <w:rsid w:val="004E1A1B"/>
    <w:rsid w:val="004E1CDB"/>
    <w:rsid w:val="004E21BA"/>
    <w:rsid w:val="004E2491"/>
    <w:rsid w:val="004E2F3E"/>
    <w:rsid w:val="004E3486"/>
    <w:rsid w:val="004E3ACE"/>
    <w:rsid w:val="004E403E"/>
    <w:rsid w:val="004E4316"/>
    <w:rsid w:val="004E43D9"/>
    <w:rsid w:val="004E4574"/>
    <w:rsid w:val="004E4CA5"/>
    <w:rsid w:val="004E4FE3"/>
    <w:rsid w:val="004E535F"/>
    <w:rsid w:val="004E54F0"/>
    <w:rsid w:val="004E55F2"/>
    <w:rsid w:val="004E5687"/>
    <w:rsid w:val="004E5AC1"/>
    <w:rsid w:val="004E5FF4"/>
    <w:rsid w:val="004E68BA"/>
    <w:rsid w:val="004E6BBD"/>
    <w:rsid w:val="004E6C3B"/>
    <w:rsid w:val="004E6DBA"/>
    <w:rsid w:val="004E7227"/>
    <w:rsid w:val="004E74F7"/>
    <w:rsid w:val="004E75CA"/>
    <w:rsid w:val="004F04A1"/>
    <w:rsid w:val="004F063C"/>
    <w:rsid w:val="004F089D"/>
    <w:rsid w:val="004F0B76"/>
    <w:rsid w:val="004F14FF"/>
    <w:rsid w:val="004F1B8D"/>
    <w:rsid w:val="004F1FBE"/>
    <w:rsid w:val="004F2401"/>
    <w:rsid w:val="004F25DB"/>
    <w:rsid w:val="004F2820"/>
    <w:rsid w:val="004F3018"/>
    <w:rsid w:val="004F3D86"/>
    <w:rsid w:val="004F43C4"/>
    <w:rsid w:val="004F449F"/>
    <w:rsid w:val="004F4C37"/>
    <w:rsid w:val="004F4C55"/>
    <w:rsid w:val="004F4D48"/>
    <w:rsid w:val="004F5077"/>
    <w:rsid w:val="004F5EA0"/>
    <w:rsid w:val="004F6137"/>
    <w:rsid w:val="004F622B"/>
    <w:rsid w:val="004F66CE"/>
    <w:rsid w:val="004F686A"/>
    <w:rsid w:val="004F6A2C"/>
    <w:rsid w:val="004F6EE4"/>
    <w:rsid w:val="004F7290"/>
    <w:rsid w:val="004F7D44"/>
    <w:rsid w:val="0050071D"/>
    <w:rsid w:val="005008DE"/>
    <w:rsid w:val="005009DB"/>
    <w:rsid w:val="00500C7C"/>
    <w:rsid w:val="00500ED7"/>
    <w:rsid w:val="00501299"/>
    <w:rsid w:val="00502008"/>
    <w:rsid w:val="005023A6"/>
    <w:rsid w:val="00502D6B"/>
    <w:rsid w:val="00503091"/>
    <w:rsid w:val="00503204"/>
    <w:rsid w:val="005034E2"/>
    <w:rsid w:val="0050358F"/>
    <w:rsid w:val="005038B7"/>
    <w:rsid w:val="00503C49"/>
    <w:rsid w:val="00504783"/>
    <w:rsid w:val="0050515B"/>
    <w:rsid w:val="00505218"/>
    <w:rsid w:val="00505B92"/>
    <w:rsid w:val="00505D92"/>
    <w:rsid w:val="00506170"/>
    <w:rsid w:val="0050691A"/>
    <w:rsid w:val="00506989"/>
    <w:rsid w:val="00507379"/>
    <w:rsid w:val="0050778C"/>
    <w:rsid w:val="005078C6"/>
    <w:rsid w:val="00507DF8"/>
    <w:rsid w:val="005101D0"/>
    <w:rsid w:val="005106F7"/>
    <w:rsid w:val="00511649"/>
    <w:rsid w:val="0051199F"/>
    <w:rsid w:val="00511DAF"/>
    <w:rsid w:val="00512B87"/>
    <w:rsid w:val="0051346D"/>
    <w:rsid w:val="005137A9"/>
    <w:rsid w:val="00513938"/>
    <w:rsid w:val="00513AD9"/>
    <w:rsid w:val="00513B92"/>
    <w:rsid w:val="00513E45"/>
    <w:rsid w:val="00513FDC"/>
    <w:rsid w:val="005147B3"/>
    <w:rsid w:val="0051520B"/>
    <w:rsid w:val="005155D8"/>
    <w:rsid w:val="005155EF"/>
    <w:rsid w:val="00515CFD"/>
    <w:rsid w:val="00516251"/>
    <w:rsid w:val="005164D0"/>
    <w:rsid w:val="005165AC"/>
    <w:rsid w:val="00516D8A"/>
    <w:rsid w:val="00516EDD"/>
    <w:rsid w:val="00517023"/>
    <w:rsid w:val="00517618"/>
    <w:rsid w:val="00517A44"/>
    <w:rsid w:val="00517A92"/>
    <w:rsid w:val="005207C7"/>
    <w:rsid w:val="005208D0"/>
    <w:rsid w:val="00520918"/>
    <w:rsid w:val="00520FF3"/>
    <w:rsid w:val="0052105D"/>
    <w:rsid w:val="0052140A"/>
    <w:rsid w:val="00522277"/>
    <w:rsid w:val="00522431"/>
    <w:rsid w:val="0052276C"/>
    <w:rsid w:val="0052282F"/>
    <w:rsid w:val="00522A97"/>
    <w:rsid w:val="005233FF"/>
    <w:rsid w:val="005236C5"/>
    <w:rsid w:val="00523D23"/>
    <w:rsid w:val="00523F7C"/>
    <w:rsid w:val="00524161"/>
    <w:rsid w:val="005251E0"/>
    <w:rsid w:val="00525DC0"/>
    <w:rsid w:val="005263DA"/>
    <w:rsid w:val="005263F4"/>
    <w:rsid w:val="005264B4"/>
    <w:rsid w:val="0052657E"/>
    <w:rsid w:val="00526B68"/>
    <w:rsid w:val="00527196"/>
    <w:rsid w:val="00527368"/>
    <w:rsid w:val="005274D6"/>
    <w:rsid w:val="00530123"/>
    <w:rsid w:val="00530313"/>
    <w:rsid w:val="00530B33"/>
    <w:rsid w:val="00531169"/>
    <w:rsid w:val="00531993"/>
    <w:rsid w:val="005324FD"/>
    <w:rsid w:val="0053288F"/>
    <w:rsid w:val="005329BC"/>
    <w:rsid w:val="00532C4B"/>
    <w:rsid w:val="0053335F"/>
    <w:rsid w:val="0053387F"/>
    <w:rsid w:val="0053445E"/>
    <w:rsid w:val="00534489"/>
    <w:rsid w:val="00534EEE"/>
    <w:rsid w:val="00535236"/>
    <w:rsid w:val="005353D5"/>
    <w:rsid w:val="00535431"/>
    <w:rsid w:val="00535538"/>
    <w:rsid w:val="00535FC9"/>
    <w:rsid w:val="00535FDD"/>
    <w:rsid w:val="00536040"/>
    <w:rsid w:val="00536482"/>
    <w:rsid w:val="0053688B"/>
    <w:rsid w:val="00536B96"/>
    <w:rsid w:val="00537090"/>
    <w:rsid w:val="005375C5"/>
    <w:rsid w:val="005376C1"/>
    <w:rsid w:val="00537844"/>
    <w:rsid w:val="005378DA"/>
    <w:rsid w:val="0054028B"/>
    <w:rsid w:val="005402C0"/>
    <w:rsid w:val="00540433"/>
    <w:rsid w:val="005406D4"/>
    <w:rsid w:val="00540822"/>
    <w:rsid w:val="00540848"/>
    <w:rsid w:val="005409B8"/>
    <w:rsid w:val="00541161"/>
    <w:rsid w:val="005414E3"/>
    <w:rsid w:val="0054190F"/>
    <w:rsid w:val="00541E1D"/>
    <w:rsid w:val="0054226A"/>
    <w:rsid w:val="005422B8"/>
    <w:rsid w:val="0054240C"/>
    <w:rsid w:val="0054245D"/>
    <w:rsid w:val="0054252B"/>
    <w:rsid w:val="005425C0"/>
    <w:rsid w:val="00542B9F"/>
    <w:rsid w:val="00543123"/>
    <w:rsid w:val="005432A7"/>
    <w:rsid w:val="0054364A"/>
    <w:rsid w:val="00543BFF"/>
    <w:rsid w:val="00544814"/>
    <w:rsid w:val="00544A57"/>
    <w:rsid w:val="005450D3"/>
    <w:rsid w:val="00545149"/>
    <w:rsid w:val="005452FF"/>
    <w:rsid w:val="00545C0F"/>
    <w:rsid w:val="00545FBF"/>
    <w:rsid w:val="0054611A"/>
    <w:rsid w:val="00546380"/>
    <w:rsid w:val="00546928"/>
    <w:rsid w:val="005469D9"/>
    <w:rsid w:val="00547241"/>
    <w:rsid w:val="005474DD"/>
    <w:rsid w:val="00550356"/>
    <w:rsid w:val="005506E1"/>
    <w:rsid w:val="00550BA1"/>
    <w:rsid w:val="005512C0"/>
    <w:rsid w:val="0055192E"/>
    <w:rsid w:val="00551CCB"/>
    <w:rsid w:val="00551F06"/>
    <w:rsid w:val="00551F5D"/>
    <w:rsid w:val="0055208C"/>
    <w:rsid w:val="00552A59"/>
    <w:rsid w:val="00552D1E"/>
    <w:rsid w:val="00553476"/>
    <w:rsid w:val="00553560"/>
    <w:rsid w:val="00553EF9"/>
    <w:rsid w:val="00554088"/>
    <w:rsid w:val="00554388"/>
    <w:rsid w:val="00554DE2"/>
    <w:rsid w:val="00554EC6"/>
    <w:rsid w:val="00555001"/>
    <w:rsid w:val="005551A2"/>
    <w:rsid w:val="0055596F"/>
    <w:rsid w:val="00555AA1"/>
    <w:rsid w:val="00556CDB"/>
    <w:rsid w:val="00556F4C"/>
    <w:rsid w:val="00557125"/>
    <w:rsid w:val="00557218"/>
    <w:rsid w:val="0055765A"/>
    <w:rsid w:val="00557ADB"/>
    <w:rsid w:val="00557D71"/>
    <w:rsid w:val="00560379"/>
    <w:rsid w:val="00560411"/>
    <w:rsid w:val="00560C6E"/>
    <w:rsid w:val="00560EB3"/>
    <w:rsid w:val="005611F0"/>
    <w:rsid w:val="0056127B"/>
    <w:rsid w:val="005616BC"/>
    <w:rsid w:val="005617B6"/>
    <w:rsid w:val="00561B65"/>
    <w:rsid w:val="00562186"/>
    <w:rsid w:val="005624FB"/>
    <w:rsid w:val="00562C8C"/>
    <w:rsid w:val="00563055"/>
    <w:rsid w:val="005634EC"/>
    <w:rsid w:val="00563D22"/>
    <w:rsid w:val="00563E6D"/>
    <w:rsid w:val="00564382"/>
    <w:rsid w:val="005647E5"/>
    <w:rsid w:val="0056551B"/>
    <w:rsid w:val="00566132"/>
    <w:rsid w:val="0056617F"/>
    <w:rsid w:val="005670E7"/>
    <w:rsid w:val="00567156"/>
    <w:rsid w:val="005674AD"/>
    <w:rsid w:val="00567D4B"/>
    <w:rsid w:val="00567EC0"/>
    <w:rsid w:val="00570720"/>
    <w:rsid w:val="00570758"/>
    <w:rsid w:val="00570B5A"/>
    <w:rsid w:val="00570E9C"/>
    <w:rsid w:val="005717DC"/>
    <w:rsid w:val="005720C0"/>
    <w:rsid w:val="005720E6"/>
    <w:rsid w:val="00572110"/>
    <w:rsid w:val="00572228"/>
    <w:rsid w:val="005723B9"/>
    <w:rsid w:val="00572649"/>
    <w:rsid w:val="005732A9"/>
    <w:rsid w:val="00574363"/>
    <w:rsid w:val="00574E62"/>
    <w:rsid w:val="00574FAA"/>
    <w:rsid w:val="00574FED"/>
    <w:rsid w:val="00575271"/>
    <w:rsid w:val="005755E8"/>
    <w:rsid w:val="00575FD2"/>
    <w:rsid w:val="005764BA"/>
    <w:rsid w:val="00576896"/>
    <w:rsid w:val="00576C78"/>
    <w:rsid w:val="0057716E"/>
    <w:rsid w:val="00577587"/>
    <w:rsid w:val="0058005B"/>
    <w:rsid w:val="00580499"/>
    <w:rsid w:val="00580897"/>
    <w:rsid w:val="00580D07"/>
    <w:rsid w:val="00581010"/>
    <w:rsid w:val="005812C4"/>
    <w:rsid w:val="005813AB"/>
    <w:rsid w:val="00581C33"/>
    <w:rsid w:val="00581ED5"/>
    <w:rsid w:val="00581F49"/>
    <w:rsid w:val="005823AD"/>
    <w:rsid w:val="005827CB"/>
    <w:rsid w:val="00582D3D"/>
    <w:rsid w:val="00582E07"/>
    <w:rsid w:val="00582EA4"/>
    <w:rsid w:val="005830AA"/>
    <w:rsid w:val="00583A84"/>
    <w:rsid w:val="00583EBA"/>
    <w:rsid w:val="00584082"/>
    <w:rsid w:val="005841BD"/>
    <w:rsid w:val="005842BC"/>
    <w:rsid w:val="0058476B"/>
    <w:rsid w:val="00584CB7"/>
    <w:rsid w:val="00584DEB"/>
    <w:rsid w:val="00584F7A"/>
    <w:rsid w:val="00585000"/>
    <w:rsid w:val="00585B61"/>
    <w:rsid w:val="0058602A"/>
    <w:rsid w:val="005860E3"/>
    <w:rsid w:val="00586156"/>
    <w:rsid w:val="00586843"/>
    <w:rsid w:val="005869B6"/>
    <w:rsid w:val="00586AF9"/>
    <w:rsid w:val="00586C93"/>
    <w:rsid w:val="00586D00"/>
    <w:rsid w:val="00587B56"/>
    <w:rsid w:val="00587DB4"/>
    <w:rsid w:val="00587EBC"/>
    <w:rsid w:val="00587F27"/>
    <w:rsid w:val="00587F46"/>
    <w:rsid w:val="005901B6"/>
    <w:rsid w:val="00590965"/>
    <w:rsid w:val="00590B22"/>
    <w:rsid w:val="00590FD8"/>
    <w:rsid w:val="00590FFA"/>
    <w:rsid w:val="0059194D"/>
    <w:rsid w:val="00591D38"/>
    <w:rsid w:val="00591E2A"/>
    <w:rsid w:val="0059231E"/>
    <w:rsid w:val="005935DF"/>
    <w:rsid w:val="005950F7"/>
    <w:rsid w:val="005955B2"/>
    <w:rsid w:val="00595834"/>
    <w:rsid w:val="00595BD5"/>
    <w:rsid w:val="00595BEF"/>
    <w:rsid w:val="00595D13"/>
    <w:rsid w:val="00595E52"/>
    <w:rsid w:val="005962B8"/>
    <w:rsid w:val="005964E0"/>
    <w:rsid w:val="00596647"/>
    <w:rsid w:val="005968C4"/>
    <w:rsid w:val="005969F1"/>
    <w:rsid w:val="00596D89"/>
    <w:rsid w:val="00597FD0"/>
    <w:rsid w:val="005A018F"/>
    <w:rsid w:val="005A04D3"/>
    <w:rsid w:val="005A0BAF"/>
    <w:rsid w:val="005A0E92"/>
    <w:rsid w:val="005A1C5F"/>
    <w:rsid w:val="005A1E8A"/>
    <w:rsid w:val="005A2743"/>
    <w:rsid w:val="005A2799"/>
    <w:rsid w:val="005A29AD"/>
    <w:rsid w:val="005A2E85"/>
    <w:rsid w:val="005A2FE0"/>
    <w:rsid w:val="005A35FF"/>
    <w:rsid w:val="005A468C"/>
    <w:rsid w:val="005A5AC2"/>
    <w:rsid w:val="005A60F6"/>
    <w:rsid w:val="005A64AD"/>
    <w:rsid w:val="005A7A21"/>
    <w:rsid w:val="005B05A6"/>
    <w:rsid w:val="005B0748"/>
    <w:rsid w:val="005B0ABF"/>
    <w:rsid w:val="005B1A48"/>
    <w:rsid w:val="005B1B25"/>
    <w:rsid w:val="005B2003"/>
    <w:rsid w:val="005B201E"/>
    <w:rsid w:val="005B20B0"/>
    <w:rsid w:val="005B299B"/>
    <w:rsid w:val="005B2AB9"/>
    <w:rsid w:val="005B2D63"/>
    <w:rsid w:val="005B329A"/>
    <w:rsid w:val="005B3932"/>
    <w:rsid w:val="005B3E33"/>
    <w:rsid w:val="005B3E7F"/>
    <w:rsid w:val="005B411A"/>
    <w:rsid w:val="005B45D3"/>
    <w:rsid w:val="005B4751"/>
    <w:rsid w:val="005B512C"/>
    <w:rsid w:val="005B55C3"/>
    <w:rsid w:val="005B5647"/>
    <w:rsid w:val="005B5BA9"/>
    <w:rsid w:val="005B5BE9"/>
    <w:rsid w:val="005B6242"/>
    <w:rsid w:val="005B63BC"/>
    <w:rsid w:val="005B69B7"/>
    <w:rsid w:val="005B6C3D"/>
    <w:rsid w:val="005B6FDA"/>
    <w:rsid w:val="005B74BE"/>
    <w:rsid w:val="005B74D8"/>
    <w:rsid w:val="005C0511"/>
    <w:rsid w:val="005C07E7"/>
    <w:rsid w:val="005C0A55"/>
    <w:rsid w:val="005C1556"/>
    <w:rsid w:val="005C15C1"/>
    <w:rsid w:val="005C17A8"/>
    <w:rsid w:val="005C1F63"/>
    <w:rsid w:val="005C21E5"/>
    <w:rsid w:val="005C22DE"/>
    <w:rsid w:val="005C24FD"/>
    <w:rsid w:val="005C263F"/>
    <w:rsid w:val="005C277E"/>
    <w:rsid w:val="005C2A62"/>
    <w:rsid w:val="005C2EAC"/>
    <w:rsid w:val="005C3546"/>
    <w:rsid w:val="005C3F11"/>
    <w:rsid w:val="005C4056"/>
    <w:rsid w:val="005C41E0"/>
    <w:rsid w:val="005C4209"/>
    <w:rsid w:val="005C4597"/>
    <w:rsid w:val="005C50F8"/>
    <w:rsid w:val="005C53CE"/>
    <w:rsid w:val="005C5460"/>
    <w:rsid w:val="005C59EB"/>
    <w:rsid w:val="005C6288"/>
    <w:rsid w:val="005C65F1"/>
    <w:rsid w:val="005C6836"/>
    <w:rsid w:val="005C7509"/>
    <w:rsid w:val="005C76BF"/>
    <w:rsid w:val="005D005D"/>
    <w:rsid w:val="005D0586"/>
    <w:rsid w:val="005D1CE4"/>
    <w:rsid w:val="005D2129"/>
    <w:rsid w:val="005D279C"/>
    <w:rsid w:val="005D2C45"/>
    <w:rsid w:val="005D2EEC"/>
    <w:rsid w:val="005D320B"/>
    <w:rsid w:val="005D3867"/>
    <w:rsid w:val="005D3ABA"/>
    <w:rsid w:val="005D46A2"/>
    <w:rsid w:val="005D491C"/>
    <w:rsid w:val="005D496D"/>
    <w:rsid w:val="005D4E1D"/>
    <w:rsid w:val="005D4F66"/>
    <w:rsid w:val="005D533E"/>
    <w:rsid w:val="005D5485"/>
    <w:rsid w:val="005D56C9"/>
    <w:rsid w:val="005D59FA"/>
    <w:rsid w:val="005D618C"/>
    <w:rsid w:val="005D63CE"/>
    <w:rsid w:val="005D64C1"/>
    <w:rsid w:val="005D687E"/>
    <w:rsid w:val="005D6B2E"/>
    <w:rsid w:val="005D7734"/>
    <w:rsid w:val="005E0ACC"/>
    <w:rsid w:val="005E1A75"/>
    <w:rsid w:val="005E1EEB"/>
    <w:rsid w:val="005E2A04"/>
    <w:rsid w:val="005E2F74"/>
    <w:rsid w:val="005E3DCB"/>
    <w:rsid w:val="005E40E6"/>
    <w:rsid w:val="005E4568"/>
    <w:rsid w:val="005E46E9"/>
    <w:rsid w:val="005E4764"/>
    <w:rsid w:val="005E484B"/>
    <w:rsid w:val="005E4EDB"/>
    <w:rsid w:val="005E54D0"/>
    <w:rsid w:val="005E5762"/>
    <w:rsid w:val="005E6960"/>
    <w:rsid w:val="005E6B2F"/>
    <w:rsid w:val="005E6CA5"/>
    <w:rsid w:val="005E7072"/>
    <w:rsid w:val="005E73FF"/>
    <w:rsid w:val="005E75C4"/>
    <w:rsid w:val="005E76DD"/>
    <w:rsid w:val="005E7A4A"/>
    <w:rsid w:val="005E7D05"/>
    <w:rsid w:val="005E7F67"/>
    <w:rsid w:val="005F1268"/>
    <w:rsid w:val="005F1600"/>
    <w:rsid w:val="005F197F"/>
    <w:rsid w:val="005F1A0F"/>
    <w:rsid w:val="005F1C55"/>
    <w:rsid w:val="005F28FD"/>
    <w:rsid w:val="005F29E7"/>
    <w:rsid w:val="005F2CFF"/>
    <w:rsid w:val="005F303F"/>
    <w:rsid w:val="005F34A1"/>
    <w:rsid w:val="005F34DE"/>
    <w:rsid w:val="005F390D"/>
    <w:rsid w:val="005F3AB1"/>
    <w:rsid w:val="005F3B94"/>
    <w:rsid w:val="005F3E97"/>
    <w:rsid w:val="005F3FD0"/>
    <w:rsid w:val="005F41A1"/>
    <w:rsid w:val="005F439B"/>
    <w:rsid w:val="005F4C7C"/>
    <w:rsid w:val="005F50DC"/>
    <w:rsid w:val="005F514B"/>
    <w:rsid w:val="005F52C5"/>
    <w:rsid w:val="005F5FB2"/>
    <w:rsid w:val="005F6019"/>
    <w:rsid w:val="005F6499"/>
    <w:rsid w:val="005F6541"/>
    <w:rsid w:val="005F7D2D"/>
    <w:rsid w:val="00600D92"/>
    <w:rsid w:val="0060122B"/>
    <w:rsid w:val="00601265"/>
    <w:rsid w:val="006013C0"/>
    <w:rsid w:val="00601452"/>
    <w:rsid w:val="006014D9"/>
    <w:rsid w:val="00601E1E"/>
    <w:rsid w:val="00601F4F"/>
    <w:rsid w:val="00602662"/>
    <w:rsid w:val="00602BA6"/>
    <w:rsid w:val="00602C85"/>
    <w:rsid w:val="00603121"/>
    <w:rsid w:val="0060465D"/>
    <w:rsid w:val="006048ED"/>
    <w:rsid w:val="00604914"/>
    <w:rsid w:val="00604ACA"/>
    <w:rsid w:val="00604C14"/>
    <w:rsid w:val="00604F67"/>
    <w:rsid w:val="00606050"/>
    <w:rsid w:val="00606061"/>
    <w:rsid w:val="00606141"/>
    <w:rsid w:val="006065BB"/>
    <w:rsid w:val="00606763"/>
    <w:rsid w:val="00606986"/>
    <w:rsid w:val="00606E24"/>
    <w:rsid w:val="00610050"/>
    <w:rsid w:val="0061014F"/>
    <w:rsid w:val="00610230"/>
    <w:rsid w:val="00610A74"/>
    <w:rsid w:val="00610B4F"/>
    <w:rsid w:val="006118DE"/>
    <w:rsid w:val="00611B61"/>
    <w:rsid w:val="00611C59"/>
    <w:rsid w:val="00611F6A"/>
    <w:rsid w:val="00611FE5"/>
    <w:rsid w:val="006126F0"/>
    <w:rsid w:val="0061283D"/>
    <w:rsid w:val="00612B40"/>
    <w:rsid w:val="00612E7E"/>
    <w:rsid w:val="006132F9"/>
    <w:rsid w:val="00613974"/>
    <w:rsid w:val="00613ECB"/>
    <w:rsid w:val="0061429D"/>
    <w:rsid w:val="00614630"/>
    <w:rsid w:val="00614B4A"/>
    <w:rsid w:val="00615024"/>
    <w:rsid w:val="0061536F"/>
    <w:rsid w:val="0061560D"/>
    <w:rsid w:val="00615C69"/>
    <w:rsid w:val="00616331"/>
    <w:rsid w:val="00617370"/>
    <w:rsid w:val="006176EA"/>
    <w:rsid w:val="00617FA4"/>
    <w:rsid w:val="006200A4"/>
    <w:rsid w:val="00620258"/>
    <w:rsid w:val="006203DE"/>
    <w:rsid w:val="00620EB4"/>
    <w:rsid w:val="00620FF1"/>
    <w:rsid w:val="0062130C"/>
    <w:rsid w:val="00621FAA"/>
    <w:rsid w:val="00622510"/>
    <w:rsid w:val="0062289F"/>
    <w:rsid w:val="006229D5"/>
    <w:rsid w:val="006235FC"/>
    <w:rsid w:val="00624013"/>
    <w:rsid w:val="00624315"/>
    <w:rsid w:val="0062447B"/>
    <w:rsid w:val="00624788"/>
    <w:rsid w:val="00624D74"/>
    <w:rsid w:val="00624F96"/>
    <w:rsid w:val="00625195"/>
    <w:rsid w:val="00625A04"/>
    <w:rsid w:val="0062617B"/>
    <w:rsid w:val="006262A4"/>
    <w:rsid w:val="0062660C"/>
    <w:rsid w:val="00626B30"/>
    <w:rsid w:val="00626BE6"/>
    <w:rsid w:val="00626DBF"/>
    <w:rsid w:val="00627055"/>
    <w:rsid w:val="00627361"/>
    <w:rsid w:val="006274EA"/>
    <w:rsid w:val="006279B5"/>
    <w:rsid w:val="00627BC0"/>
    <w:rsid w:val="00627FE0"/>
    <w:rsid w:val="0063032F"/>
    <w:rsid w:val="006303B1"/>
    <w:rsid w:val="0063064A"/>
    <w:rsid w:val="006314DC"/>
    <w:rsid w:val="00632765"/>
    <w:rsid w:val="00632D22"/>
    <w:rsid w:val="0063321A"/>
    <w:rsid w:val="0063352F"/>
    <w:rsid w:val="00633A14"/>
    <w:rsid w:val="00633E0F"/>
    <w:rsid w:val="00633F88"/>
    <w:rsid w:val="00634BCB"/>
    <w:rsid w:val="006350B1"/>
    <w:rsid w:val="00636182"/>
    <w:rsid w:val="006362EF"/>
    <w:rsid w:val="006369B0"/>
    <w:rsid w:val="006371EF"/>
    <w:rsid w:val="00637594"/>
    <w:rsid w:val="00637BE0"/>
    <w:rsid w:val="00640532"/>
    <w:rsid w:val="00640A75"/>
    <w:rsid w:val="006412D9"/>
    <w:rsid w:val="00641C1A"/>
    <w:rsid w:val="00642770"/>
    <w:rsid w:val="0064326D"/>
    <w:rsid w:val="006439C4"/>
    <w:rsid w:val="006445AF"/>
    <w:rsid w:val="0064468C"/>
    <w:rsid w:val="006447AB"/>
    <w:rsid w:val="00644968"/>
    <w:rsid w:val="00644BD0"/>
    <w:rsid w:val="00644E28"/>
    <w:rsid w:val="00645816"/>
    <w:rsid w:val="00645918"/>
    <w:rsid w:val="00647222"/>
    <w:rsid w:val="006475E3"/>
    <w:rsid w:val="00647796"/>
    <w:rsid w:val="00647B85"/>
    <w:rsid w:val="00647BDA"/>
    <w:rsid w:val="00650347"/>
    <w:rsid w:val="006503A5"/>
    <w:rsid w:val="006506D0"/>
    <w:rsid w:val="006506F2"/>
    <w:rsid w:val="0065105F"/>
    <w:rsid w:val="00651652"/>
    <w:rsid w:val="00651A0E"/>
    <w:rsid w:val="00651A36"/>
    <w:rsid w:val="00651A7C"/>
    <w:rsid w:val="00651BF8"/>
    <w:rsid w:val="00652973"/>
    <w:rsid w:val="00652A85"/>
    <w:rsid w:val="00652EDF"/>
    <w:rsid w:val="00653944"/>
    <w:rsid w:val="00653BEB"/>
    <w:rsid w:val="00654172"/>
    <w:rsid w:val="00654C34"/>
    <w:rsid w:val="0065504F"/>
    <w:rsid w:val="006551A0"/>
    <w:rsid w:val="006555A6"/>
    <w:rsid w:val="006556C3"/>
    <w:rsid w:val="006562FC"/>
    <w:rsid w:val="006564B7"/>
    <w:rsid w:val="00656506"/>
    <w:rsid w:val="00656615"/>
    <w:rsid w:val="0065668B"/>
    <w:rsid w:val="00656CDA"/>
    <w:rsid w:val="00657119"/>
    <w:rsid w:val="00657AFB"/>
    <w:rsid w:val="006600A6"/>
    <w:rsid w:val="0066018E"/>
    <w:rsid w:val="006605E3"/>
    <w:rsid w:val="0066089C"/>
    <w:rsid w:val="0066171F"/>
    <w:rsid w:val="00661978"/>
    <w:rsid w:val="00661BE7"/>
    <w:rsid w:val="00661EF4"/>
    <w:rsid w:val="00661EFA"/>
    <w:rsid w:val="00661F19"/>
    <w:rsid w:val="00662513"/>
    <w:rsid w:val="00662748"/>
    <w:rsid w:val="00662D95"/>
    <w:rsid w:val="00663D91"/>
    <w:rsid w:val="00663DEB"/>
    <w:rsid w:val="00663FBC"/>
    <w:rsid w:val="00664058"/>
    <w:rsid w:val="00664064"/>
    <w:rsid w:val="006644A4"/>
    <w:rsid w:val="0066495A"/>
    <w:rsid w:val="00664A11"/>
    <w:rsid w:val="00664C1F"/>
    <w:rsid w:val="006650E8"/>
    <w:rsid w:val="0066552A"/>
    <w:rsid w:val="0066562F"/>
    <w:rsid w:val="0066573D"/>
    <w:rsid w:val="00665BD8"/>
    <w:rsid w:val="006662C9"/>
    <w:rsid w:val="0066639F"/>
    <w:rsid w:val="00667925"/>
    <w:rsid w:val="0067009C"/>
    <w:rsid w:val="0067129F"/>
    <w:rsid w:val="006715A5"/>
    <w:rsid w:val="006720FD"/>
    <w:rsid w:val="006725D9"/>
    <w:rsid w:val="00672E7A"/>
    <w:rsid w:val="00672FBA"/>
    <w:rsid w:val="006731CC"/>
    <w:rsid w:val="006732B5"/>
    <w:rsid w:val="0067342C"/>
    <w:rsid w:val="00673BF3"/>
    <w:rsid w:val="00673D69"/>
    <w:rsid w:val="00673DE4"/>
    <w:rsid w:val="00674312"/>
    <w:rsid w:val="006744CD"/>
    <w:rsid w:val="00674676"/>
    <w:rsid w:val="00674912"/>
    <w:rsid w:val="00675132"/>
    <w:rsid w:val="00675369"/>
    <w:rsid w:val="00675412"/>
    <w:rsid w:val="0067555C"/>
    <w:rsid w:val="00675AD5"/>
    <w:rsid w:val="00675EA3"/>
    <w:rsid w:val="0067647B"/>
    <w:rsid w:val="0067712D"/>
    <w:rsid w:val="00677603"/>
    <w:rsid w:val="006776B1"/>
    <w:rsid w:val="00677706"/>
    <w:rsid w:val="006801AC"/>
    <w:rsid w:val="006814CD"/>
    <w:rsid w:val="00681611"/>
    <w:rsid w:val="00681979"/>
    <w:rsid w:val="00681A22"/>
    <w:rsid w:val="00682080"/>
    <w:rsid w:val="00682862"/>
    <w:rsid w:val="00682B12"/>
    <w:rsid w:val="00682C8E"/>
    <w:rsid w:val="00683DD6"/>
    <w:rsid w:val="006843FF"/>
    <w:rsid w:val="00684911"/>
    <w:rsid w:val="00685E26"/>
    <w:rsid w:val="0068618F"/>
    <w:rsid w:val="006862C0"/>
    <w:rsid w:val="006865A2"/>
    <w:rsid w:val="006866E2"/>
    <w:rsid w:val="00686A0F"/>
    <w:rsid w:val="00686CFC"/>
    <w:rsid w:val="00687FDA"/>
    <w:rsid w:val="00687FDB"/>
    <w:rsid w:val="00690277"/>
    <w:rsid w:val="0069080E"/>
    <w:rsid w:val="00692424"/>
    <w:rsid w:val="0069270D"/>
    <w:rsid w:val="00692909"/>
    <w:rsid w:val="0069298A"/>
    <w:rsid w:val="00693127"/>
    <w:rsid w:val="00693674"/>
    <w:rsid w:val="00694671"/>
    <w:rsid w:val="00694721"/>
    <w:rsid w:val="0069515D"/>
    <w:rsid w:val="00695250"/>
    <w:rsid w:val="00695251"/>
    <w:rsid w:val="00695578"/>
    <w:rsid w:val="00695983"/>
    <w:rsid w:val="006959AD"/>
    <w:rsid w:val="00695B52"/>
    <w:rsid w:val="00695BBC"/>
    <w:rsid w:val="00695F7E"/>
    <w:rsid w:val="006966D1"/>
    <w:rsid w:val="00696A48"/>
    <w:rsid w:val="00696A71"/>
    <w:rsid w:val="006972E5"/>
    <w:rsid w:val="0069730B"/>
    <w:rsid w:val="006977E0"/>
    <w:rsid w:val="00697D94"/>
    <w:rsid w:val="006A0E7E"/>
    <w:rsid w:val="006A1465"/>
    <w:rsid w:val="006A1C8A"/>
    <w:rsid w:val="006A23B2"/>
    <w:rsid w:val="006A342A"/>
    <w:rsid w:val="006A3D8E"/>
    <w:rsid w:val="006A3FC1"/>
    <w:rsid w:val="006A4407"/>
    <w:rsid w:val="006A4648"/>
    <w:rsid w:val="006A4BD2"/>
    <w:rsid w:val="006A4DCA"/>
    <w:rsid w:val="006A52A2"/>
    <w:rsid w:val="006A530C"/>
    <w:rsid w:val="006A57EF"/>
    <w:rsid w:val="006A5F04"/>
    <w:rsid w:val="006A600E"/>
    <w:rsid w:val="006A679B"/>
    <w:rsid w:val="006A6830"/>
    <w:rsid w:val="006A68AE"/>
    <w:rsid w:val="006A6BFD"/>
    <w:rsid w:val="006A6EEA"/>
    <w:rsid w:val="006A6F30"/>
    <w:rsid w:val="006A7B0B"/>
    <w:rsid w:val="006A7E3E"/>
    <w:rsid w:val="006B0B10"/>
    <w:rsid w:val="006B0EA7"/>
    <w:rsid w:val="006B0F6C"/>
    <w:rsid w:val="006B0FB9"/>
    <w:rsid w:val="006B19A2"/>
    <w:rsid w:val="006B1BD9"/>
    <w:rsid w:val="006B220F"/>
    <w:rsid w:val="006B226C"/>
    <w:rsid w:val="006B273F"/>
    <w:rsid w:val="006B282D"/>
    <w:rsid w:val="006B2F9B"/>
    <w:rsid w:val="006B30FF"/>
    <w:rsid w:val="006B3B19"/>
    <w:rsid w:val="006B3B31"/>
    <w:rsid w:val="006B3BE9"/>
    <w:rsid w:val="006B3D5E"/>
    <w:rsid w:val="006B459A"/>
    <w:rsid w:val="006B45BE"/>
    <w:rsid w:val="006B4AF9"/>
    <w:rsid w:val="006B4CC9"/>
    <w:rsid w:val="006B57ED"/>
    <w:rsid w:val="006B5DC6"/>
    <w:rsid w:val="006B5F0F"/>
    <w:rsid w:val="006B6100"/>
    <w:rsid w:val="006B66DE"/>
    <w:rsid w:val="006B6C1A"/>
    <w:rsid w:val="006B7111"/>
    <w:rsid w:val="006B728C"/>
    <w:rsid w:val="006B7BBE"/>
    <w:rsid w:val="006B7DFF"/>
    <w:rsid w:val="006C0B0B"/>
    <w:rsid w:val="006C0B78"/>
    <w:rsid w:val="006C0F0B"/>
    <w:rsid w:val="006C1237"/>
    <w:rsid w:val="006C1715"/>
    <w:rsid w:val="006C1A9E"/>
    <w:rsid w:val="006C1FA0"/>
    <w:rsid w:val="006C24EC"/>
    <w:rsid w:val="006C271D"/>
    <w:rsid w:val="006C2727"/>
    <w:rsid w:val="006C2909"/>
    <w:rsid w:val="006C2DC6"/>
    <w:rsid w:val="006C2F25"/>
    <w:rsid w:val="006C3104"/>
    <w:rsid w:val="006C38FB"/>
    <w:rsid w:val="006C3A9B"/>
    <w:rsid w:val="006C4489"/>
    <w:rsid w:val="006C5788"/>
    <w:rsid w:val="006C5B19"/>
    <w:rsid w:val="006C5DA9"/>
    <w:rsid w:val="006C5E09"/>
    <w:rsid w:val="006C63B6"/>
    <w:rsid w:val="006C697E"/>
    <w:rsid w:val="006C7232"/>
    <w:rsid w:val="006C7330"/>
    <w:rsid w:val="006D0A70"/>
    <w:rsid w:val="006D0DD5"/>
    <w:rsid w:val="006D0EFE"/>
    <w:rsid w:val="006D14B8"/>
    <w:rsid w:val="006D14E9"/>
    <w:rsid w:val="006D175E"/>
    <w:rsid w:val="006D1A95"/>
    <w:rsid w:val="006D1B7F"/>
    <w:rsid w:val="006D1CDE"/>
    <w:rsid w:val="006D2EFC"/>
    <w:rsid w:val="006D3CBA"/>
    <w:rsid w:val="006D3D3F"/>
    <w:rsid w:val="006D3EAB"/>
    <w:rsid w:val="006D421E"/>
    <w:rsid w:val="006D4B79"/>
    <w:rsid w:val="006D4D87"/>
    <w:rsid w:val="006D546E"/>
    <w:rsid w:val="006D5AD8"/>
    <w:rsid w:val="006D5E4D"/>
    <w:rsid w:val="006D5FF5"/>
    <w:rsid w:val="006D6989"/>
    <w:rsid w:val="006D6CB5"/>
    <w:rsid w:val="006D7166"/>
    <w:rsid w:val="006D79E9"/>
    <w:rsid w:val="006D7A3E"/>
    <w:rsid w:val="006E0926"/>
    <w:rsid w:val="006E0BFC"/>
    <w:rsid w:val="006E1926"/>
    <w:rsid w:val="006E1933"/>
    <w:rsid w:val="006E1FB3"/>
    <w:rsid w:val="006E2086"/>
    <w:rsid w:val="006E211A"/>
    <w:rsid w:val="006E2601"/>
    <w:rsid w:val="006E2694"/>
    <w:rsid w:val="006E29DD"/>
    <w:rsid w:val="006E2ACF"/>
    <w:rsid w:val="006E2E54"/>
    <w:rsid w:val="006E35BE"/>
    <w:rsid w:val="006E3602"/>
    <w:rsid w:val="006E39CD"/>
    <w:rsid w:val="006E3E84"/>
    <w:rsid w:val="006E432C"/>
    <w:rsid w:val="006E43E2"/>
    <w:rsid w:val="006E4D7B"/>
    <w:rsid w:val="006E5103"/>
    <w:rsid w:val="006E52B9"/>
    <w:rsid w:val="006E5729"/>
    <w:rsid w:val="006E57A5"/>
    <w:rsid w:val="006E595C"/>
    <w:rsid w:val="006E5F1D"/>
    <w:rsid w:val="006E6595"/>
    <w:rsid w:val="006E6830"/>
    <w:rsid w:val="006E6834"/>
    <w:rsid w:val="006E7409"/>
    <w:rsid w:val="006E7925"/>
    <w:rsid w:val="006E7EF3"/>
    <w:rsid w:val="006F0011"/>
    <w:rsid w:val="006F060E"/>
    <w:rsid w:val="006F131D"/>
    <w:rsid w:val="006F1CC0"/>
    <w:rsid w:val="006F2219"/>
    <w:rsid w:val="006F2559"/>
    <w:rsid w:val="006F2B3F"/>
    <w:rsid w:val="006F2BE5"/>
    <w:rsid w:val="006F30E4"/>
    <w:rsid w:val="006F5720"/>
    <w:rsid w:val="006F6B45"/>
    <w:rsid w:val="006F6CAB"/>
    <w:rsid w:val="006F7508"/>
    <w:rsid w:val="006F7837"/>
    <w:rsid w:val="0070009C"/>
    <w:rsid w:val="007003B6"/>
    <w:rsid w:val="007006B2"/>
    <w:rsid w:val="00700A15"/>
    <w:rsid w:val="00700B7B"/>
    <w:rsid w:val="00700DA0"/>
    <w:rsid w:val="00701311"/>
    <w:rsid w:val="00701639"/>
    <w:rsid w:val="00701AB7"/>
    <w:rsid w:val="00701C24"/>
    <w:rsid w:val="007023E2"/>
    <w:rsid w:val="007023E9"/>
    <w:rsid w:val="00702446"/>
    <w:rsid w:val="00702510"/>
    <w:rsid w:val="007027AD"/>
    <w:rsid w:val="00702B29"/>
    <w:rsid w:val="00702C20"/>
    <w:rsid w:val="007031E3"/>
    <w:rsid w:val="007037A4"/>
    <w:rsid w:val="00703B0F"/>
    <w:rsid w:val="00703E34"/>
    <w:rsid w:val="00704362"/>
    <w:rsid w:val="007045BB"/>
    <w:rsid w:val="00704D32"/>
    <w:rsid w:val="00704EF3"/>
    <w:rsid w:val="00704F6F"/>
    <w:rsid w:val="00704F86"/>
    <w:rsid w:val="0070531D"/>
    <w:rsid w:val="00705796"/>
    <w:rsid w:val="0070588F"/>
    <w:rsid w:val="00705F2D"/>
    <w:rsid w:val="007060AF"/>
    <w:rsid w:val="0070632B"/>
    <w:rsid w:val="00706E61"/>
    <w:rsid w:val="00707877"/>
    <w:rsid w:val="00707A67"/>
    <w:rsid w:val="0071055B"/>
    <w:rsid w:val="00710CA2"/>
    <w:rsid w:val="007112EB"/>
    <w:rsid w:val="007114B2"/>
    <w:rsid w:val="00711509"/>
    <w:rsid w:val="007119D4"/>
    <w:rsid w:val="0071247D"/>
    <w:rsid w:val="00712A5D"/>
    <w:rsid w:val="00712AD4"/>
    <w:rsid w:val="00713A21"/>
    <w:rsid w:val="00713D35"/>
    <w:rsid w:val="00713DDD"/>
    <w:rsid w:val="00713EDE"/>
    <w:rsid w:val="00714CFB"/>
    <w:rsid w:val="00715BFF"/>
    <w:rsid w:val="00716242"/>
    <w:rsid w:val="00716435"/>
    <w:rsid w:val="00716838"/>
    <w:rsid w:val="00716A25"/>
    <w:rsid w:val="00716E28"/>
    <w:rsid w:val="00717119"/>
    <w:rsid w:val="00717150"/>
    <w:rsid w:val="00717373"/>
    <w:rsid w:val="00717681"/>
    <w:rsid w:val="0071779A"/>
    <w:rsid w:val="00717911"/>
    <w:rsid w:val="00717C24"/>
    <w:rsid w:val="007203AF"/>
    <w:rsid w:val="007206AE"/>
    <w:rsid w:val="00720A7A"/>
    <w:rsid w:val="00720AC1"/>
    <w:rsid w:val="00720C90"/>
    <w:rsid w:val="00721C81"/>
    <w:rsid w:val="007220D9"/>
    <w:rsid w:val="00722279"/>
    <w:rsid w:val="0072233E"/>
    <w:rsid w:val="007224E4"/>
    <w:rsid w:val="007226F9"/>
    <w:rsid w:val="00722EE5"/>
    <w:rsid w:val="00723354"/>
    <w:rsid w:val="00723F70"/>
    <w:rsid w:val="007244F5"/>
    <w:rsid w:val="00725050"/>
    <w:rsid w:val="00725315"/>
    <w:rsid w:val="007254CC"/>
    <w:rsid w:val="00725C3C"/>
    <w:rsid w:val="007260E3"/>
    <w:rsid w:val="00726407"/>
    <w:rsid w:val="007266D0"/>
    <w:rsid w:val="007268D3"/>
    <w:rsid w:val="00726B6C"/>
    <w:rsid w:val="00726CF4"/>
    <w:rsid w:val="00727B59"/>
    <w:rsid w:val="00727D14"/>
    <w:rsid w:val="007302DE"/>
    <w:rsid w:val="00731DE6"/>
    <w:rsid w:val="00731EC8"/>
    <w:rsid w:val="00731F07"/>
    <w:rsid w:val="0073200A"/>
    <w:rsid w:val="007326B9"/>
    <w:rsid w:val="0073297C"/>
    <w:rsid w:val="0073337E"/>
    <w:rsid w:val="00733711"/>
    <w:rsid w:val="00733CD7"/>
    <w:rsid w:val="00733E8C"/>
    <w:rsid w:val="00733FF5"/>
    <w:rsid w:val="007341C3"/>
    <w:rsid w:val="007342E8"/>
    <w:rsid w:val="00734B84"/>
    <w:rsid w:val="00734CFF"/>
    <w:rsid w:val="007350E5"/>
    <w:rsid w:val="0073510D"/>
    <w:rsid w:val="007351A6"/>
    <w:rsid w:val="0073534F"/>
    <w:rsid w:val="00735CE2"/>
    <w:rsid w:val="00735D47"/>
    <w:rsid w:val="00736AB3"/>
    <w:rsid w:val="00737BDF"/>
    <w:rsid w:val="0074059E"/>
    <w:rsid w:val="007406C6"/>
    <w:rsid w:val="007412E2"/>
    <w:rsid w:val="007415C2"/>
    <w:rsid w:val="007415D0"/>
    <w:rsid w:val="00741E32"/>
    <w:rsid w:val="00741FBC"/>
    <w:rsid w:val="007420EF"/>
    <w:rsid w:val="00742F7E"/>
    <w:rsid w:val="00742FB4"/>
    <w:rsid w:val="00743597"/>
    <w:rsid w:val="00744183"/>
    <w:rsid w:val="00744464"/>
    <w:rsid w:val="007448B8"/>
    <w:rsid w:val="0074532E"/>
    <w:rsid w:val="007461BF"/>
    <w:rsid w:val="00746458"/>
    <w:rsid w:val="00746586"/>
    <w:rsid w:val="00746F2B"/>
    <w:rsid w:val="00747A82"/>
    <w:rsid w:val="00747BCF"/>
    <w:rsid w:val="00750248"/>
    <w:rsid w:val="00750521"/>
    <w:rsid w:val="007521BF"/>
    <w:rsid w:val="0075261F"/>
    <w:rsid w:val="0075283D"/>
    <w:rsid w:val="00752964"/>
    <w:rsid w:val="00752E60"/>
    <w:rsid w:val="00752EE4"/>
    <w:rsid w:val="007530C5"/>
    <w:rsid w:val="00753305"/>
    <w:rsid w:val="00753717"/>
    <w:rsid w:val="007538A6"/>
    <w:rsid w:val="00753998"/>
    <w:rsid w:val="00753E4C"/>
    <w:rsid w:val="00754381"/>
    <w:rsid w:val="007546BA"/>
    <w:rsid w:val="007546BC"/>
    <w:rsid w:val="007549C6"/>
    <w:rsid w:val="00754BFB"/>
    <w:rsid w:val="00754DE7"/>
    <w:rsid w:val="007554F9"/>
    <w:rsid w:val="00755A68"/>
    <w:rsid w:val="00755ADD"/>
    <w:rsid w:val="00755BDF"/>
    <w:rsid w:val="00755E78"/>
    <w:rsid w:val="007561C6"/>
    <w:rsid w:val="007562B0"/>
    <w:rsid w:val="00756478"/>
    <w:rsid w:val="00756F0E"/>
    <w:rsid w:val="00757B6C"/>
    <w:rsid w:val="00757E9F"/>
    <w:rsid w:val="00757F1B"/>
    <w:rsid w:val="00760012"/>
    <w:rsid w:val="007601C9"/>
    <w:rsid w:val="0076027D"/>
    <w:rsid w:val="007602DC"/>
    <w:rsid w:val="007606A8"/>
    <w:rsid w:val="00760B63"/>
    <w:rsid w:val="00760BFC"/>
    <w:rsid w:val="00762396"/>
    <w:rsid w:val="007623EF"/>
    <w:rsid w:val="00762518"/>
    <w:rsid w:val="00762855"/>
    <w:rsid w:val="0076357A"/>
    <w:rsid w:val="0076390C"/>
    <w:rsid w:val="00763994"/>
    <w:rsid w:val="00763CFA"/>
    <w:rsid w:val="00764288"/>
    <w:rsid w:val="00764319"/>
    <w:rsid w:val="007645A6"/>
    <w:rsid w:val="00764E23"/>
    <w:rsid w:val="00764F30"/>
    <w:rsid w:val="00766056"/>
    <w:rsid w:val="007661FE"/>
    <w:rsid w:val="00766529"/>
    <w:rsid w:val="00766542"/>
    <w:rsid w:val="00766D75"/>
    <w:rsid w:val="00766FAA"/>
    <w:rsid w:val="007676C5"/>
    <w:rsid w:val="00767E31"/>
    <w:rsid w:val="00770EFE"/>
    <w:rsid w:val="00770F23"/>
    <w:rsid w:val="00770FE8"/>
    <w:rsid w:val="00771456"/>
    <w:rsid w:val="00771863"/>
    <w:rsid w:val="00771B7E"/>
    <w:rsid w:val="00771EA8"/>
    <w:rsid w:val="0077221F"/>
    <w:rsid w:val="00772440"/>
    <w:rsid w:val="00772917"/>
    <w:rsid w:val="00772CDC"/>
    <w:rsid w:val="0077302F"/>
    <w:rsid w:val="007731FE"/>
    <w:rsid w:val="0077335E"/>
    <w:rsid w:val="0077379D"/>
    <w:rsid w:val="00773B08"/>
    <w:rsid w:val="0077409F"/>
    <w:rsid w:val="007740C3"/>
    <w:rsid w:val="00774214"/>
    <w:rsid w:val="00774235"/>
    <w:rsid w:val="0077433E"/>
    <w:rsid w:val="00774A36"/>
    <w:rsid w:val="007757D4"/>
    <w:rsid w:val="00775BBD"/>
    <w:rsid w:val="00775D1C"/>
    <w:rsid w:val="007763AC"/>
    <w:rsid w:val="00776D22"/>
    <w:rsid w:val="00776F3B"/>
    <w:rsid w:val="0077762E"/>
    <w:rsid w:val="00777E15"/>
    <w:rsid w:val="0078005D"/>
    <w:rsid w:val="007800C2"/>
    <w:rsid w:val="00780151"/>
    <w:rsid w:val="00780A24"/>
    <w:rsid w:val="00780F9A"/>
    <w:rsid w:val="00782918"/>
    <w:rsid w:val="00782D6A"/>
    <w:rsid w:val="0078371C"/>
    <w:rsid w:val="00783E58"/>
    <w:rsid w:val="00783F44"/>
    <w:rsid w:val="00783FF1"/>
    <w:rsid w:val="007842CE"/>
    <w:rsid w:val="00784A80"/>
    <w:rsid w:val="00784ADF"/>
    <w:rsid w:val="00784B17"/>
    <w:rsid w:val="00784D5B"/>
    <w:rsid w:val="0078507A"/>
    <w:rsid w:val="00785B2E"/>
    <w:rsid w:val="00786B55"/>
    <w:rsid w:val="00786BCE"/>
    <w:rsid w:val="00786FFE"/>
    <w:rsid w:val="00787601"/>
    <w:rsid w:val="00787FA9"/>
    <w:rsid w:val="00790848"/>
    <w:rsid w:val="0079088E"/>
    <w:rsid w:val="00791435"/>
    <w:rsid w:val="00791BCF"/>
    <w:rsid w:val="00791D09"/>
    <w:rsid w:val="00793292"/>
    <w:rsid w:val="007935BE"/>
    <w:rsid w:val="00793C7D"/>
    <w:rsid w:val="00794237"/>
    <w:rsid w:val="007947FF"/>
    <w:rsid w:val="00795169"/>
    <w:rsid w:val="007956CE"/>
    <w:rsid w:val="007957FE"/>
    <w:rsid w:val="00795E71"/>
    <w:rsid w:val="00795F1B"/>
    <w:rsid w:val="0079626D"/>
    <w:rsid w:val="0079661C"/>
    <w:rsid w:val="007967E4"/>
    <w:rsid w:val="00797B13"/>
    <w:rsid w:val="00797B62"/>
    <w:rsid w:val="007A0414"/>
    <w:rsid w:val="007A1025"/>
    <w:rsid w:val="007A10B5"/>
    <w:rsid w:val="007A1711"/>
    <w:rsid w:val="007A1E0B"/>
    <w:rsid w:val="007A2041"/>
    <w:rsid w:val="007A2356"/>
    <w:rsid w:val="007A2911"/>
    <w:rsid w:val="007A2CC3"/>
    <w:rsid w:val="007A3521"/>
    <w:rsid w:val="007A36CE"/>
    <w:rsid w:val="007A3AFC"/>
    <w:rsid w:val="007A3FE4"/>
    <w:rsid w:val="007A4744"/>
    <w:rsid w:val="007A4BFC"/>
    <w:rsid w:val="007A53CC"/>
    <w:rsid w:val="007A53E4"/>
    <w:rsid w:val="007A619F"/>
    <w:rsid w:val="007A673B"/>
    <w:rsid w:val="007A77CF"/>
    <w:rsid w:val="007B005E"/>
    <w:rsid w:val="007B05CE"/>
    <w:rsid w:val="007B08B0"/>
    <w:rsid w:val="007B1049"/>
    <w:rsid w:val="007B1161"/>
    <w:rsid w:val="007B1A48"/>
    <w:rsid w:val="007B1F48"/>
    <w:rsid w:val="007B22F5"/>
    <w:rsid w:val="007B287D"/>
    <w:rsid w:val="007B2CE6"/>
    <w:rsid w:val="007B32C2"/>
    <w:rsid w:val="007B3AC5"/>
    <w:rsid w:val="007B3FCF"/>
    <w:rsid w:val="007B409E"/>
    <w:rsid w:val="007B40A0"/>
    <w:rsid w:val="007B4790"/>
    <w:rsid w:val="007B4ECF"/>
    <w:rsid w:val="007B51F9"/>
    <w:rsid w:val="007B547C"/>
    <w:rsid w:val="007B566F"/>
    <w:rsid w:val="007B576E"/>
    <w:rsid w:val="007B5BD6"/>
    <w:rsid w:val="007B5CDC"/>
    <w:rsid w:val="007B5FA0"/>
    <w:rsid w:val="007B65C2"/>
    <w:rsid w:val="007B67B0"/>
    <w:rsid w:val="007B7484"/>
    <w:rsid w:val="007C00BB"/>
    <w:rsid w:val="007C03AD"/>
    <w:rsid w:val="007C0C99"/>
    <w:rsid w:val="007C0FA6"/>
    <w:rsid w:val="007C1D5B"/>
    <w:rsid w:val="007C22C6"/>
    <w:rsid w:val="007C2308"/>
    <w:rsid w:val="007C2619"/>
    <w:rsid w:val="007C2864"/>
    <w:rsid w:val="007C2B88"/>
    <w:rsid w:val="007C2EA9"/>
    <w:rsid w:val="007C3047"/>
    <w:rsid w:val="007C30B4"/>
    <w:rsid w:val="007C3598"/>
    <w:rsid w:val="007C3B1A"/>
    <w:rsid w:val="007C3BB2"/>
    <w:rsid w:val="007C3D69"/>
    <w:rsid w:val="007C3F20"/>
    <w:rsid w:val="007C4742"/>
    <w:rsid w:val="007C4D1F"/>
    <w:rsid w:val="007C4EF5"/>
    <w:rsid w:val="007C50A7"/>
    <w:rsid w:val="007C50A8"/>
    <w:rsid w:val="007C5617"/>
    <w:rsid w:val="007C5846"/>
    <w:rsid w:val="007C5B5E"/>
    <w:rsid w:val="007C609C"/>
    <w:rsid w:val="007C65A8"/>
    <w:rsid w:val="007C667B"/>
    <w:rsid w:val="007C6A03"/>
    <w:rsid w:val="007C6F10"/>
    <w:rsid w:val="007C7223"/>
    <w:rsid w:val="007C751B"/>
    <w:rsid w:val="007C78B2"/>
    <w:rsid w:val="007C7977"/>
    <w:rsid w:val="007D0969"/>
    <w:rsid w:val="007D127E"/>
    <w:rsid w:val="007D1838"/>
    <w:rsid w:val="007D1B04"/>
    <w:rsid w:val="007D1B68"/>
    <w:rsid w:val="007D1BE8"/>
    <w:rsid w:val="007D2569"/>
    <w:rsid w:val="007D328E"/>
    <w:rsid w:val="007D33E9"/>
    <w:rsid w:val="007D3857"/>
    <w:rsid w:val="007D39B1"/>
    <w:rsid w:val="007D3AAF"/>
    <w:rsid w:val="007D3B03"/>
    <w:rsid w:val="007D460A"/>
    <w:rsid w:val="007D568B"/>
    <w:rsid w:val="007D5BEB"/>
    <w:rsid w:val="007D60F1"/>
    <w:rsid w:val="007D6692"/>
    <w:rsid w:val="007D67EE"/>
    <w:rsid w:val="007D7362"/>
    <w:rsid w:val="007D7552"/>
    <w:rsid w:val="007D7C4D"/>
    <w:rsid w:val="007D7DAC"/>
    <w:rsid w:val="007E01EC"/>
    <w:rsid w:val="007E09CA"/>
    <w:rsid w:val="007E0A90"/>
    <w:rsid w:val="007E1040"/>
    <w:rsid w:val="007E16C6"/>
    <w:rsid w:val="007E17A5"/>
    <w:rsid w:val="007E1815"/>
    <w:rsid w:val="007E18BE"/>
    <w:rsid w:val="007E213F"/>
    <w:rsid w:val="007E2CFB"/>
    <w:rsid w:val="007E3167"/>
    <w:rsid w:val="007E32F5"/>
    <w:rsid w:val="007E3E6F"/>
    <w:rsid w:val="007E3FF6"/>
    <w:rsid w:val="007E4117"/>
    <w:rsid w:val="007E4F53"/>
    <w:rsid w:val="007E530B"/>
    <w:rsid w:val="007E5439"/>
    <w:rsid w:val="007E5F8C"/>
    <w:rsid w:val="007E6143"/>
    <w:rsid w:val="007E66F7"/>
    <w:rsid w:val="007E6B2E"/>
    <w:rsid w:val="007E6F74"/>
    <w:rsid w:val="007E7426"/>
    <w:rsid w:val="007E74B3"/>
    <w:rsid w:val="007E7598"/>
    <w:rsid w:val="007E77A5"/>
    <w:rsid w:val="007E77A6"/>
    <w:rsid w:val="007F044B"/>
    <w:rsid w:val="007F0D8C"/>
    <w:rsid w:val="007F122D"/>
    <w:rsid w:val="007F14A4"/>
    <w:rsid w:val="007F1AD0"/>
    <w:rsid w:val="007F1C52"/>
    <w:rsid w:val="007F2AF8"/>
    <w:rsid w:val="007F3087"/>
    <w:rsid w:val="007F3796"/>
    <w:rsid w:val="007F3B7E"/>
    <w:rsid w:val="007F4778"/>
    <w:rsid w:val="007F4A1D"/>
    <w:rsid w:val="007F4F22"/>
    <w:rsid w:val="007F51B4"/>
    <w:rsid w:val="007F5D91"/>
    <w:rsid w:val="007F6714"/>
    <w:rsid w:val="007F6A90"/>
    <w:rsid w:val="007F6B32"/>
    <w:rsid w:val="007F6F60"/>
    <w:rsid w:val="007F7077"/>
    <w:rsid w:val="007F7ADE"/>
    <w:rsid w:val="007F7CF9"/>
    <w:rsid w:val="007F7E4E"/>
    <w:rsid w:val="007FD1F0"/>
    <w:rsid w:val="00800690"/>
    <w:rsid w:val="008008DE"/>
    <w:rsid w:val="008018FD"/>
    <w:rsid w:val="00801B12"/>
    <w:rsid w:val="008022C1"/>
    <w:rsid w:val="008024B7"/>
    <w:rsid w:val="00802E6B"/>
    <w:rsid w:val="00803050"/>
    <w:rsid w:val="00803701"/>
    <w:rsid w:val="00803D21"/>
    <w:rsid w:val="00803E4C"/>
    <w:rsid w:val="00804041"/>
    <w:rsid w:val="00804135"/>
    <w:rsid w:val="008043DE"/>
    <w:rsid w:val="0080442C"/>
    <w:rsid w:val="008048B3"/>
    <w:rsid w:val="00804D82"/>
    <w:rsid w:val="00804EAF"/>
    <w:rsid w:val="00805462"/>
    <w:rsid w:val="00805E62"/>
    <w:rsid w:val="00806454"/>
    <w:rsid w:val="00806C1C"/>
    <w:rsid w:val="00806F24"/>
    <w:rsid w:val="00807056"/>
    <w:rsid w:val="00807698"/>
    <w:rsid w:val="00807913"/>
    <w:rsid w:val="00807CBC"/>
    <w:rsid w:val="0081059B"/>
    <w:rsid w:val="0081078A"/>
    <w:rsid w:val="00812478"/>
    <w:rsid w:val="00812C91"/>
    <w:rsid w:val="00812DE7"/>
    <w:rsid w:val="00813240"/>
    <w:rsid w:val="00813B00"/>
    <w:rsid w:val="00814689"/>
    <w:rsid w:val="00814FE4"/>
    <w:rsid w:val="0081576C"/>
    <w:rsid w:val="00815A78"/>
    <w:rsid w:val="00816277"/>
    <w:rsid w:val="00816462"/>
    <w:rsid w:val="008164FA"/>
    <w:rsid w:val="00816922"/>
    <w:rsid w:val="00816CEC"/>
    <w:rsid w:val="0081706D"/>
    <w:rsid w:val="008178F4"/>
    <w:rsid w:val="008179FB"/>
    <w:rsid w:val="00817C12"/>
    <w:rsid w:val="008203CA"/>
    <w:rsid w:val="0082058F"/>
    <w:rsid w:val="00820794"/>
    <w:rsid w:val="008208E7"/>
    <w:rsid w:val="008211D6"/>
    <w:rsid w:val="00821387"/>
    <w:rsid w:val="0082139D"/>
    <w:rsid w:val="00821C26"/>
    <w:rsid w:val="00822033"/>
    <w:rsid w:val="0082217D"/>
    <w:rsid w:val="00822697"/>
    <w:rsid w:val="00822A18"/>
    <w:rsid w:val="00822E04"/>
    <w:rsid w:val="00822FE6"/>
    <w:rsid w:val="00824D9E"/>
    <w:rsid w:val="00824E64"/>
    <w:rsid w:val="0082536E"/>
    <w:rsid w:val="0082571C"/>
    <w:rsid w:val="00825B69"/>
    <w:rsid w:val="00826199"/>
    <w:rsid w:val="008261A0"/>
    <w:rsid w:val="00826757"/>
    <w:rsid w:val="00826984"/>
    <w:rsid w:val="00826A8C"/>
    <w:rsid w:val="00826CBB"/>
    <w:rsid w:val="00827CC7"/>
    <w:rsid w:val="00827DF1"/>
    <w:rsid w:val="008300A8"/>
    <w:rsid w:val="00830649"/>
    <w:rsid w:val="00830973"/>
    <w:rsid w:val="00830A8F"/>
    <w:rsid w:val="00830C76"/>
    <w:rsid w:val="00831343"/>
    <w:rsid w:val="00831427"/>
    <w:rsid w:val="00831E8C"/>
    <w:rsid w:val="0083247F"/>
    <w:rsid w:val="00832ABE"/>
    <w:rsid w:val="00832C50"/>
    <w:rsid w:val="00832D3F"/>
    <w:rsid w:val="00832E2C"/>
    <w:rsid w:val="0083305B"/>
    <w:rsid w:val="00833A1D"/>
    <w:rsid w:val="00833D3B"/>
    <w:rsid w:val="008344C7"/>
    <w:rsid w:val="00834D53"/>
    <w:rsid w:val="008356E9"/>
    <w:rsid w:val="00836240"/>
    <w:rsid w:val="00836386"/>
    <w:rsid w:val="00837166"/>
    <w:rsid w:val="008373E1"/>
    <w:rsid w:val="00837477"/>
    <w:rsid w:val="0084011B"/>
    <w:rsid w:val="00840241"/>
    <w:rsid w:val="0084024B"/>
    <w:rsid w:val="008405FB"/>
    <w:rsid w:val="00840A12"/>
    <w:rsid w:val="00840C54"/>
    <w:rsid w:val="0084119E"/>
    <w:rsid w:val="0084150D"/>
    <w:rsid w:val="00841652"/>
    <w:rsid w:val="0084206C"/>
    <w:rsid w:val="008426DA"/>
    <w:rsid w:val="00842770"/>
    <w:rsid w:val="00842C0E"/>
    <w:rsid w:val="00842E98"/>
    <w:rsid w:val="008434EF"/>
    <w:rsid w:val="00843ADC"/>
    <w:rsid w:val="008442AF"/>
    <w:rsid w:val="00844AE7"/>
    <w:rsid w:val="00844C04"/>
    <w:rsid w:val="008462E5"/>
    <w:rsid w:val="00846505"/>
    <w:rsid w:val="008465C8"/>
    <w:rsid w:val="0084675A"/>
    <w:rsid w:val="00846993"/>
    <w:rsid w:val="00846C4B"/>
    <w:rsid w:val="00846D0E"/>
    <w:rsid w:val="00846FA6"/>
    <w:rsid w:val="008476FE"/>
    <w:rsid w:val="00847B24"/>
    <w:rsid w:val="00847C29"/>
    <w:rsid w:val="00847CA1"/>
    <w:rsid w:val="00850137"/>
    <w:rsid w:val="008502CB"/>
    <w:rsid w:val="00851806"/>
    <w:rsid w:val="008518A0"/>
    <w:rsid w:val="008522B0"/>
    <w:rsid w:val="00852BAE"/>
    <w:rsid w:val="00852FD6"/>
    <w:rsid w:val="008532BA"/>
    <w:rsid w:val="008534DA"/>
    <w:rsid w:val="00853760"/>
    <w:rsid w:val="008539D2"/>
    <w:rsid w:val="008542CF"/>
    <w:rsid w:val="00854C2B"/>
    <w:rsid w:val="00854F68"/>
    <w:rsid w:val="00855131"/>
    <w:rsid w:val="00855EBE"/>
    <w:rsid w:val="0085603D"/>
    <w:rsid w:val="008560F8"/>
    <w:rsid w:val="008563C9"/>
    <w:rsid w:val="00856636"/>
    <w:rsid w:val="00857048"/>
    <w:rsid w:val="008570A6"/>
    <w:rsid w:val="00857386"/>
    <w:rsid w:val="00857FF3"/>
    <w:rsid w:val="008600C7"/>
    <w:rsid w:val="00860495"/>
    <w:rsid w:val="0086073D"/>
    <w:rsid w:val="00861566"/>
    <w:rsid w:val="00861BE3"/>
    <w:rsid w:val="00862088"/>
    <w:rsid w:val="00862310"/>
    <w:rsid w:val="008625FB"/>
    <w:rsid w:val="00862716"/>
    <w:rsid w:val="008628E2"/>
    <w:rsid w:val="00862C5B"/>
    <w:rsid w:val="0086315F"/>
    <w:rsid w:val="008631BE"/>
    <w:rsid w:val="008643DD"/>
    <w:rsid w:val="00864675"/>
    <w:rsid w:val="008647FD"/>
    <w:rsid w:val="00864BB1"/>
    <w:rsid w:val="00864E77"/>
    <w:rsid w:val="00864F8C"/>
    <w:rsid w:val="00865300"/>
    <w:rsid w:val="00865668"/>
    <w:rsid w:val="00866B7F"/>
    <w:rsid w:val="00866DDB"/>
    <w:rsid w:val="008677D6"/>
    <w:rsid w:val="00870AFC"/>
    <w:rsid w:val="0087157E"/>
    <w:rsid w:val="0087169E"/>
    <w:rsid w:val="00871A10"/>
    <w:rsid w:val="00871BB8"/>
    <w:rsid w:val="00871C18"/>
    <w:rsid w:val="00871D25"/>
    <w:rsid w:val="00871D8D"/>
    <w:rsid w:val="008722C2"/>
    <w:rsid w:val="008723AA"/>
    <w:rsid w:val="00872792"/>
    <w:rsid w:val="00872DEB"/>
    <w:rsid w:val="0087359C"/>
    <w:rsid w:val="00873AF3"/>
    <w:rsid w:val="00873B62"/>
    <w:rsid w:val="00873C8C"/>
    <w:rsid w:val="008740F5"/>
    <w:rsid w:val="00874241"/>
    <w:rsid w:val="00874451"/>
    <w:rsid w:val="0087465C"/>
    <w:rsid w:val="008749A0"/>
    <w:rsid w:val="00874ED5"/>
    <w:rsid w:val="0087573C"/>
    <w:rsid w:val="00875810"/>
    <w:rsid w:val="008758DE"/>
    <w:rsid w:val="00875CB4"/>
    <w:rsid w:val="008761EE"/>
    <w:rsid w:val="00876254"/>
    <w:rsid w:val="00876463"/>
    <w:rsid w:val="00876FAE"/>
    <w:rsid w:val="00876FB4"/>
    <w:rsid w:val="00877721"/>
    <w:rsid w:val="00877773"/>
    <w:rsid w:val="00880E0C"/>
    <w:rsid w:val="008812C1"/>
    <w:rsid w:val="00881B8C"/>
    <w:rsid w:val="0088219C"/>
    <w:rsid w:val="0088220D"/>
    <w:rsid w:val="00882ACD"/>
    <w:rsid w:val="00882C72"/>
    <w:rsid w:val="00883104"/>
    <w:rsid w:val="008835FD"/>
    <w:rsid w:val="0088361A"/>
    <w:rsid w:val="00883CA1"/>
    <w:rsid w:val="0088411B"/>
    <w:rsid w:val="00884683"/>
    <w:rsid w:val="00884E12"/>
    <w:rsid w:val="008854AB"/>
    <w:rsid w:val="00886104"/>
    <w:rsid w:val="00886A45"/>
    <w:rsid w:val="0088704F"/>
    <w:rsid w:val="008876B0"/>
    <w:rsid w:val="008879E6"/>
    <w:rsid w:val="00890157"/>
    <w:rsid w:val="008906D7"/>
    <w:rsid w:val="00890B77"/>
    <w:rsid w:val="00890D28"/>
    <w:rsid w:val="00891082"/>
    <w:rsid w:val="008913BE"/>
    <w:rsid w:val="00891663"/>
    <w:rsid w:val="0089269D"/>
    <w:rsid w:val="00893059"/>
    <w:rsid w:val="008935EA"/>
    <w:rsid w:val="0089396A"/>
    <w:rsid w:val="0089471A"/>
    <w:rsid w:val="008951D0"/>
    <w:rsid w:val="008952F6"/>
    <w:rsid w:val="00896B5C"/>
    <w:rsid w:val="00896BB9"/>
    <w:rsid w:val="0089728F"/>
    <w:rsid w:val="0089740D"/>
    <w:rsid w:val="00897637"/>
    <w:rsid w:val="00897C58"/>
    <w:rsid w:val="00897C6B"/>
    <w:rsid w:val="008A00BF"/>
    <w:rsid w:val="008A0233"/>
    <w:rsid w:val="008A0692"/>
    <w:rsid w:val="008A0F76"/>
    <w:rsid w:val="008A123A"/>
    <w:rsid w:val="008A145C"/>
    <w:rsid w:val="008A16CD"/>
    <w:rsid w:val="008A22DB"/>
    <w:rsid w:val="008A2572"/>
    <w:rsid w:val="008A2772"/>
    <w:rsid w:val="008A295D"/>
    <w:rsid w:val="008A2B58"/>
    <w:rsid w:val="008A3229"/>
    <w:rsid w:val="008A3E36"/>
    <w:rsid w:val="008A433F"/>
    <w:rsid w:val="008A4701"/>
    <w:rsid w:val="008A5DCD"/>
    <w:rsid w:val="008A6269"/>
    <w:rsid w:val="008A65A1"/>
    <w:rsid w:val="008A69DA"/>
    <w:rsid w:val="008A69DE"/>
    <w:rsid w:val="008A7439"/>
    <w:rsid w:val="008A7675"/>
    <w:rsid w:val="008A77BA"/>
    <w:rsid w:val="008A7B46"/>
    <w:rsid w:val="008A7F26"/>
    <w:rsid w:val="008A7F9D"/>
    <w:rsid w:val="008B00FB"/>
    <w:rsid w:val="008B08B7"/>
    <w:rsid w:val="008B09F5"/>
    <w:rsid w:val="008B1325"/>
    <w:rsid w:val="008B158F"/>
    <w:rsid w:val="008B19D5"/>
    <w:rsid w:val="008B1C25"/>
    <w:rsid w:val="008B2079"/>
    <w:rsid w:val="008B2C69"/>
    <w:rsid w:val="008B3151"/>
    <w:rsid w:val="008B38A1"/>
    <w:rsid w:val="008B39FB"/>
    <w:rsid w:val="008B461F"/>
    <w:rsid w:val="008B4809"/>
    <w:rsid w:val="008B481C"/>
    <w:rsid w:val="008B4891"/>
    <w:rsid w:val="008B4AAF"/>
    <w:rsid w:val="008B4D19"/>
    <w:rsid w:val="008B4FB3"/>
    <w:rsid w:val="008B5048"/>
    <w:rsid w:val="008B5977"/>
    <w:rsid w:val="008B61E8"/>
    <w:rsid w:val="008B6242"/>
    <w:rsid w:val="008B6F11"/>
    <w:rsid w:val="008B711A"/>
    <w:rsid w:val="008B723E"/>
    <w:rsid w:val="008B7872"/>
    <w:rsid w:val="008C016B"/>
    <w:rsid w:val="008C022A"/>
    <w:rsid w:val="008C02AA"/>
    <w:rsid w:val="008C0992"/>
    <w:rsid w:val="008C0A74"/>
    <w:rsid w:val="008C126F"/>
    <w:rsid w:val="008C1553"/>
    <w:rsid w:val="008C1665"/>
    <w:rsid w:val="008C18F0"/>
    <w:rsid w:val="008C1C28"/>
    <w:rsid w:val="008C213E"/>
    <w:rsid w:val="008C21B6"/>
    <w:rsid w:val="008C2B5A"/>
    <w:rsid w:val="008C3043"/>
    <w:rsid w:val="008C3142"/>
    <w:rsid w:val="008C32A7"/>
    <w:rsid w:val="008C3889"/>
    <w:rsid w:val="008C3FB1"/>
    <w:rsid w:val="008C404E"/>
    <w:rsid w:val="008C4507"/>
    <w:rsid w:val="008C45A3"/>
    <w:rsid w:val="008C45C1"/>
    <w:rsid w:val="008C497D"/>
    <w:rsid w:val="008C53B5"/>
    <w:rsid w:val="008C5B4D"/>
    <w:rsid w:val="008C5E94"/>
    <w:rsid w:val="008C61BA"/>
    <w:rsid w:val="008C640A"/>
    <w:rsid w:val="008C6515"/>
    <w:rsid w:val="008C6686"/>
    <w:rsid w:val="008C668E"/>
    <w:rsid w:val="008C672A"/>
    <w:rsid w:val="008C702C"/>
    <w:rsid w:val="008D0684"/>
    <w:rsid w:val="008D093E"/>
    <w:rsid w:val="008D15D2"/>
    <w:rsid w:val="008D1BC4"/>
    <w:rsid w:val="008D1D88"/>
    <w:rsid w:val="008D1D8F"/>
    <w:rsid w:val="008D294A"/>
    <w:rsid w:val="008D2F02"/>
    <w:rsid w:val="008D3102"/>
    <w:rsid w:val="008D3648"/>
    <w:rsid w:val="008D39D6"/>
    <w:rsid w:val="008D3A6B"/>
    <w:rsid w:val="008D3AC5"/>
    <w:rsid w:val="008D3D04"/>
    <w:rsid w:val="008D3DDF"/>
    <w:rsid w:val="008D406D"/>
    <w:rsid w:val="008D4118"/>
    <w:rsid w:val="008D467C"/>
    <w:rsid w:val="008D4A55"/>
    <w:rsid w:val="008D4C50"/>
    <w:rsid w:val="008D50D8"/>
    <w:rsid w:val="008D518B"/>
    <w:rsid w:val="008D7130"/>
    <w:rsid w:val="008D748F"/>
    <w:rsid w:val="008D759B"/>
    <w:rsid w:val="008D78B3"/>
    <w:rsid w:val="008D7B8A"/>
    <w:rsid w:val="008E059E"/>
    <w:rsid w:val="008E0D52"/>
    <w:rsid w:val="008E0DF4"/>
    <w:rsid w:val="008E0F13"/>
    <w:rsid w:val="008E13FA"/>
    <w:rsid w:val="008E24E3"/>
    <w:rsid w:val="008E298E"/>
    <w:rsid w:val="008E34D0"/>
    <w:rsid w:val="008E3DAA"/>
    <w:rsid w:val="008E4263"/>
    <w:rsid w:val="008E4981"/>
    <w:rsid w:val="008E4A62"/>
    <w:rsid w:val="008E4DC1"/>
    <w:rsid w:val="008E4FA2"/>
    <w:rsid w:val="008E5CEB"/>
    <w:rsid w:val="008E6232"/>
    <w:rsid w:val="008E66E6"/>
    <w:rsid w:val="008E6B2D"/>
    <w:rsid w:val="008E6F70"/>
    <w:rsid w:val="008E7277"/>
    <w:rsid w:val="008E7704"/>
    <w:rsid w:val="008E77AA"/>
    <w:rsid w:val="008F0D69"/>
    <w:rsid w:val="008F0D6D"/>
    <w:rsid w:val="008F1028"/>
    <w:rsid w:val="008F13AC"/>
    <w:rsid w:val="008F1A53"/>
    <w:rsid w:val="008F20BA"/>
    <w:rsid w:val="008F210C"/>
    <w:rsid w:val="008F2920"/>
    <w:rsid w:val="008F2C89"/>
    <w:rsid w:val="008F39C1"/>
    <w:rsid w:val="008F40BA"/>
    <w:rsid w:val="008F4A9A"/>
    <w:rsid w:val="008F4E64"/>
    <w:rsid w:val="008F5023"/>
    <w:rsid w:val="008F5917"/>
    <w:rsid w:val="008F59D8"/>
    <w:rsid w:val="008F5F2E"/>
    <w:rsid w:val="008F6033"/>
    <w:rsid w:val="008F6B7E"/>
    <w:rsid w:val="008F71A5"/>
    <w:rsid w:val="008F725A"/>
    <w:rsid w:val="008F76B9"/>
    <w:rsid w:val="008F7BA9"/>
    <w:rsid w:val="009002D9"/>
    <w:rsid w:val="0090084D"/>
    <w:rsid w:val="00900E96"/>
    <w:rsid w:val="00901D16"/>
    <w:rsid w:val="00902106"/>
    <w:rsid w:val="009029A8"/>
    <w:rsid w:val="00903113"/>
    <w:rsid w:val="00903121"/>
    <w:rsid w:val="0090328D"/>
    <w:rsid w:val="009034DC"/>
    <w:rsid w:val="00903B3A"/>
    <w:rsid w:val="00904169"/>
    <w:rsid w:val="00904282"/>
    <w:rsid w:val="009049C3"/>
    <w:rsid w:val="00904BF2"/>
    <w:rsid w:val="00904C6D"/>
    <w:rsid w:val="00905057"/>
    <w:rsid w:val="00905168"/>
    <w:rsid w:val="009051C2"/>
    <w:rsid w:val="009058B5"/>
    <w:rsid w:val="00906191"/>
    <w:rsid w:val="00906194"/>
    <w:rsid w:val="0090693E"/>
    <w:rsid w:val="00906F99"/>
    <w:rsid w:val="00907312"/>
    <w:rsid w:val="0090743A"/>
    <w:rsid w:val="009075CD"/>
    <w:rsid w:val="00910283"/>
    <w:rsid w:val="009105EC"/>
    <w:rsid w:val="00910CC8"/>
    <w:rsid w:val="00910E22"/>
    <w:rsid w:val="009110DB"/>
    <w:rsid w:val="009110ED"/>
    <w:rsid w:val="0091304E"/>
    <w:rsid w:val="009131C9"/>
    <w:rsid w:val="0091336A"/>
    <w:rsid w:val="00913E90"/>
    <w:rsid w:val="00913F56"/>
    <w:rsid w:val="009142D3"/>
    <w:rsid w:val="00914608"/>
    <w:rsid w:val="00914665"/>
    <w:rsid w:val="00914715"/>
    <w:rsid w:val="00914AC3"/>
    <w:rsid w:val="00915234"/>
    <w:rsid w:val="009155A7"/>
    <w:rsid w:val="00915875"/>
    <w:rsid w:val="00916008"/>
    <w:rsid w:val="009160C7"/>
    <w:rsid w:val="00916300"/>
    <w:rsid w:val="00916F16"/>
    <w:rsid w:val="00916F6C"/>
    <w:rsid w:val="00917AAC"/>
    <w:rsid w:val="00920069"/>
    <w:rsid w:val="00920218"/>
    <w:rsid w:val="00920757"/>
    <w:rsid w:val="00920991"/>
    <w:rsid w:val="00920A83"/>
    <w:rsid w:val="00920AB5"/>
    <w:rsid w:val="00921902"/>
    <w:rsid w:val="00922E94"/>
    <w:rsid w:val="00923241"/>
    <w:rsid w:val="009244B4"/>
    <w:rsid w:val="009245C1"/>
    <w:rsid w:val="009249D1"/>
    <w:rsid w:val="00925150"/>
    <w:rsid w:val="0092579C"/>
    <w:rsid w:val="009259D4"/>
    <w:rsid w:val="00925D93"/>
    <w:rsid w:val="00925E52"/>
    <w:rsid w:val="00925F95"/>
    <w:rsid w:val="00926963"/>
    <w:rsid w:val="00926999"/>
    <w:rsid w:val="00926E27"/>
    <w:rsid w:val="00927086"/>
    <w:rsid w:val="00927149"/>
    <w:rsid w:val="009272DF"/>
    <w:rsid w:val="00927687"/>
    <w:rsid w:val="00930671"/>
    <w:rsid w:val="009307D3"/>
    <w:rsid w:val="00930A1F"/>
    <w:rsid w:val="00931054"/>
    <w:rsid w:val="00931543"/>
    <w:rsid w:val="00932202"/>
    <w:rsid w:val="0093239E"/>
    <w:rsid w:val="00933317"/>
    <w:rsid w:val="00933AF2"/>
    <w:rsid w:val="00933B2C"/>
    <w:rsid w:val="00933F5C"/>
    <w:rsid w:val="009346F4"/>
    <w:rsid w:val="009347C3"/>
    <w:rsid w:val="00934C9F"/>
    <w:rsid w:val="00935807"/>
    <w:rsid w:val="0093603B"/>
    <w:rsid w:val="009362C0"/>
    <w:rsid w:val="0093651A"/>
    <w:rsid w:val="00936EE6"/>
    <w:rsid w:val="00937417"/>
    <w:rsid w:val="00937530"/>
    <w:rsid w:val="00937E38"/>
    <w:rsid w:val="00940038"/>
    <w:rsid w:val="009405AE"/>
    <w:rsid w:val="00940628"/>
    <w:rsid w:val="009406B2"/>
    <w:rsid w:val="00940744"/>
    <w:rsid w:val="00940924"/>
    <w:rsid w:val="00941000"/>
    <w:rsid w:val="0094139B"/>
    <w:rsid w:val="009417EA"/>
    <w:rsid w:val="00941818"/>
    <w:rsid w:val="00941880"/>
    <w:rsid w:val="00941BE1"/>
    <w:rsid w:val="00941BFD"/>
    <w:rsid w:val="00941CBB"/>
    <w:rsid w:val="00941F7D"/>
    <w:rsid w:val="0094272B"/>
    <w:rsid w:val="009427FB"/>
    <w:rsid w:val="00942D22"/>
    <w:rsid w:val="009431DE"/>
    <w:rsid w:val="00943546"/>
    <w:rsid w:val="00944268"/>
    <w:rsid w:val="00944A3D"/>
    <w:rsid w:val="009454A5"/>
    <w:rsid w:val="009455BB"/>
    <w:rsid w:val="0094561E"/>
    <w:rsid w:val="00945F89"/>
    <w:rsid w:val="009460E6"/>
    <w:rsid w:val="0094672A"/>
    <w:rsid w:val="009477D8"/>
    <w:rsid w:val="00947F35"/>
    <w:rsid w:val="009503FB"/>
    <w:rsid w:val="00950632"/>
    <w:rsid w:val="0095089D"/>
    <w:rsid w:val="009508FA"/>
    <w:rsid w:val="00950B57"/>
    <w:rsid w:val="00950E7B"/>
    <w:rsid w:val="00950F6D"/>
    <w:rsid w:val="009516E7"/>
    <w:rsid w:val="00951BA9"/>
    <w:rsid w:val="00951ED8"/>
    <w:rsid w:val="00951F6E"/>
    <w:rsid w:val="0095227A"/>
    <w:rsid w:val="00952B0F"/>
    <w:rsid w:val="00952F16"/>
    <w:rsid w:val="00953466"/>
    <w:rsid w:val="009534A9"/>
    <w:rsid w:val="009538E6"/>
    <w:rsid w:val="009539B7"/>
    <w:rsid w:val="009539CE"/>
    <w:rsid w:val="00953B97"/>
    <w:rsid w:val="00953D62"/>
    <w:rsid w:val="009542B6"/>
    <w:rsid w:val="009548D5"/>
    <w:rsid w:val="00954AE3"/>
    <w:rsid w:val="00955B63"/>
    <w:rsid w:val="00956973"/>
    <w:rsid w:val="00956FBA"/>
    <w:rsid w:val="00957BAC"/>
    <w:rsid w:val="00960535"/>
    <w:rsid w:val="00960673"/>
    <w:rsid w:val="0096098C"/>
    <w:rsid w:val="00960F02"/>
    <w:rsid w:val="00960F48"/>
    <w:rsid w:val="0096189E"/>
    <w:rsid w:val="009619DF"/>
    <w:rsid w:val="00962A52"/>
    <w:rsid w:val="00962A6D"/>
    <w:rsid w:val="00962B6E"/>
    <w:rsid w:val="009632E4"/>
    <w:rsid w:val="009635C7"/>
    <w:rsid w:val="00963A18"/>
    <w:rsid w:val="00963EFA"/>
    <w:rsid w:val="00964363"/>
    <w:rsid w:val="00964CC2"/>
    <w:rsid w:val="00964CD3"/>
    <w:rsid w:val="009653F9"/>
    <w:rsid w:val="0096571C"/>
    <w:rsid w:val="009657B1"/>
    <w:rsid w:val="00965952"/>
    <w:rsid w:val="00965B3B"/>
    <w:rsid w:val="00965E2A"/>
    <w:rsid w:val="00965ED2"/>
    <w:rsid w:val="00966E30"/>
    <w:rsid w:val="00966FEC"/>
    <w:rsid w:val="0096746C"/>
    <w:rsid w:val="00967485"/>
    <w:rsid w:val="009704E4"/>
    <w:rsid w:val="00970694"/>
    <w:rsid w:val="009707A6"/>
    <w:rsid w:val="009708B1"/>
    <w:rsid w:val="009708FB"/>
    <w:rsid w:val="009717D4"/>
    <w:rsid w:val="00971AC5"/>
    <w:rsid w:val="00971BE8"/>
    <w:rsid w:val="00971D7F"/>
    <w:rsid w:val="009723B3"/>
    <w:rsid w:val="00972655"/>
    <w:rsid w:val="00972A30"/>
    <w:rsid w:val="00972F2A"/>
    <w:rsid w:val="009739B8"/>
    <w:rsid w:val="009745AD"/>
    <w:rsid w:val="00974780"/>
    <w:rsid w:val="00974E67"/>
    <w:rsid w:val="00975038"/>
    <w:rsid w:val="009756CD"/>
    <w:rsid w:val="009758CE"/>
    <w:rsid w:val="00975973"/>
    <w:rsid w:val="00975B20"/>
    <w:rsid w:val="00975D71"/>
    <w:rsid w:val="00976C19"/>
    <w:rsid w:val="00976D9E"/>
    <w:rsid w:val="00977032"/>
    <w:rsid w:val="009775C7"/>
    <w:rsid w:val="00977645"/>
    <w:rsid w:val="009776FA"/>
    <w:rsid w:val="00977900"/>
    <w:rsid w:val="00977E28"/>
    <w:rsid w:val="00977F75"/>
    <w:rsid w:val="0098035C"/>
    <w:rsid w:val="009803E0"/>
    <w:rsid w:val="00980D27"/>
    <w:rsid w:val="00981821"/>
    <w:rsid w:val="00981F29"/>
    <w:rsid w:val="00982048"/>
    <w:rsid w:val="009821B4"/>
    <w:rsid w:val="00982303"/>
    <w:rsid w:val="00982355"/>
    <w:rsid w:val="009829FC"/>
    <w:rsid w:val="00982CB3"/>
    <w:rsid w:val="00982DAA"/>
    <w:rsid w:val="00982E8C"/>
    <w:rsid w:val="00983A7A"/>
    <w:rsid w:val="00983F97"/>
    <w:rsid w:val="009849E8"/>
    <w:rsid w:val="00984E21"/>
    <w:rsid w:val="00985203"/>
    <w:rsid w:val="0098556A"/>
    <w:rsid w:val="0098571C"/>
    <w:rsid w:val="0098586D"/>
    <w:rsid w:val="00985D65"/>
    <w:rsid w:val="0098634C"/>
    <w:rsid w:val="00986758"/>
    <w:rsid w:val="00986A08"/>
    <w:rsid w:val="00986A13"/>
    <w:rsid w:val="00987365"/>
    <w:rsid w:val="00987AE6"/>
    <w:rsid w:val="00987BB3"/>
    <w:rsid w:val="00990355"/>
    <w:rsid w:val="00990F94"/>
    <w:rsid w:val="00991181"/>
    <w:rsid w:val="009913E8"/>
    <w:rsid w:val="009918AF"/>
    <w:rsid w:val="00991A62"/>
    <w:rsid w:val="00992534"/>
    <w:rsid w:val="0099311F"/>
    <w:rsid w:val="00993306"/>
    <w:rsid w:val="009933EB"/>
    <w:rsid w:val="009934AD"/>
    <w:rsid w:val="009934FA"/>
    <w:rsid w:val="009939E5"/>
    <w:rsid w:val="009946CE"/>
    <w:rsid w:val="00994A72"/>
    <w:rsid w:val="00994A9E"/>
    <w:rsid w:val="00994D0A"/>
    <w:rsid w:val="009958BF"/>
    <w:rsid w:val="00995935"/>
    <w:rsid w:val="00995CBC"/>
    <w:rsid w:val="009961B7"/>
    <w:rsid w:val="00996934"/>
    <w:rsid w:val="00996C82"/>
    <w:rsid w:val="00996DD4"/>
    <w:rsid w:val="00996FCD"/>
    <w:rsid w:val="00997311"/>
    <w:rsid w:val="00997454"/>
    <w:rsid w:val="00997552"/>
    <w:rsid w:val="00997B78"/>
    <w:rsid w:val="009A0289"/>
    <w:rsid w:val="009A03E8"/>
    <w:rsid w:val="009A0432"/>
    <w:rsid w:val="009A145E"/>
    <w:rsid w:val="009A1A22"/>
    <w:rsid w:val="009A1C56"/>
    <w:rsid w:val="009A1EB7"/>
    <w:rsid w:val="009A1F25"/>
    <w:rsid w:val="009A238B"/>
    <w:rsid w:val="009A23A0"/>
    <w:rsid w:val="009A2FE7"/>
    <w:rsid w:val="009A30C3"/>
    <w:rsid w:val="009A33C9"/>
    <w:rsid w:val="009A373A"/>
    <w:rsid w:val="009A389F"/>
    <w:rsid w:val="009A4295"/>
    <w:rsid w:val="009A43D7"/>
    <w:rsid w:val="009A4A1E"/>
    <w:rsid w:val="009A51E1"/>
    <w:rsid w:val="009A5229"/>
    <w:rsid w:val="009A56E4"/>
    <w:rsid w:val="009A5B4C"/>
    <w:rsid w:val="009A5E17"/>
    <w:rsid w:val="009A6811"/>
    <w:rsid w:val="009A74E2"/>
    <w:rsid w:val="009A7985"/>
    <w:rsid w:val="009A79DA"/>
    <w:rsid w:val="009A7A77"/>
    <w:rsid w:val="009A7B3D"/>
    <w:rsid w:val="009B024E"/>
    <w:rsid w:val="009B0361"/>
    <w:rsid w:val="009B10B2"/>
    <w:rsid w:val="009B191E"/>
    <w:rsid w:val="009B1AD8"/>
    <w:rsid w:val="009B1C76"/>
    <w:rsid w:val="009B2A70"/>
    <w:rsid w:val="009B302A"/>
    <w:rsid w:val="009B3119"/>
    <w:rsid w:val="009B358F"/>
    <w:rsid w:val="009B35FD"/>
    <w:rsid w:val="009B4181"/>
    <w:rsid w:val="009B4D58"/>
    <w:rsid w:val="009B4ED7"/>
    <w:rsid w:val="009B55DC"/>
    <w:rsid w:val="009B5A9D"/>
    <w:rsid w:val="009B5E91"/>
    <w:rsid w:val="009B5F8C"/>
    <w:rsid w:val="009B6801"/>
    <w:rsid w:val="009B6938"/>
    <w:rsid w:val="009B6EEA"/>
    <w:rsid w:val="009B73C1"/>
    <w:rsid w:val="009B7690"/>
    <w:rsid w:val="009B76BE"/>
    <w:rsid w:val="009B7A4F"/>
    <w:rsid w:val="009C007B"/>
    <w:rsid w:val="009C0251"/>
    <w:rsid w:val="009C0397"/>
    <w:rsid w:val="009C0C98"/>
    <w:rsid w:val="009C0D4C"/>
    <w:rsid w:val="009C1EEB"/>
    <w:rsid w:val="009C22BE"/>
    <w:rsid w:val="009C26EC"/>
    <w:rsid w:val="009C2817"/>
    <w:rsid w:val="009C3011"/>
    <w:rsid w:val="009C36D5"/>
    <w:rsid w:val="009C386D"/>
    <w:rsid w:val="009C388D"/>
    <w:rsid w:val="009C3B9F"/>
    <w:rsid w:val="009C40BF"/>
    <w:rsid w:val="009C40CD"/>
    <w:rsid w:val="009C4226"/>
    <w:rsid w:val="009C44E2"/>
    <w:rsid w:val="009C4C9B"/>
    <w:rsid w:val="009C57F1"/>
    <w:rsid w:val="009C5E36"/>
    <w:rsid w:val="009C5E63"/>
    <w:rsid w:val="009C610B"/>
    <w:rsid w:val="009C65C3"/>
    <w:rsid w:val="009C6DC7"/>
    <w:rsid w:val="009C6FF5"/>
    <w:rsid w:val="009C7545"/>
    <w:rsid w:val="009C7749"/>
    <w:rsid w:val="009C7974"/>
    <w:rsid w:val="009C7AB3"/>
    <w:rsid w:val="009C7B44"/>
    <w:rsid w:val="009C7F74"/>
    <w:rsid w:val="009D04B1"/>
    <w:rsid w:val="009D0CB1"/>
    <w:rsid w:val="009D2434"/>
    <w:rsid w:val="009D2789"/>
    <w:rsid w:val="009D28A7"/>
    <w:rsid w:val="009D295F"/>
    <w:rsid w:val="009D2B2D"/>
    <w:rsid w:val="009D3747"/>
    <w:rsid w:val="009D37E0"/>
    <w:rsid w:val="009D3B63"/>
    <w:rsid w:val="009D498C"/>
    <w:rsid w:val="009D4E27"/>
    <w:rsid w:val="009D5D5B"/>
    <w:rsid w:val="009D648E"/>
    <w:rsid w:val="009D6730"/>
    <w:rsid w:val="009D6A84"/>
    <w:rsid w:val="009D70F7"/>
    <w:rsid w:val="009D74AA"/>
    <w:rsid w:val="009D7DEF"/>
    <w:rsid w:val="009E0162"/>
    <w:rsid w:val="009E0311"/>
    <w:rsid w:val="009E0D08"/>
    <w:rsid w:val="009E185B"/>
    <w:rsid w:val="009E219A"/>
    <w:rsid w:val="009E231A"/>
    <w:rsid w:val="009E2CAE"/>
    <w:rsid w:val="009E2D38"/>
    <w:rsid w:val="009E2D4B"/>
    <w:rsid w:val="009E2F64"/>
    <w:rsid w:val="009E3E7E"/>
    <w:rsid w:val="009E5143"/>
    <w:rsid w:val="009E5492"/>
    <w:rsid w:val="009E560D"/>
    <w:rsid w:val="009E59BC"/>
    <w:rsid w:val="009E6FA7"/>
    <w:rsid w:val="009E71C8"/>
    <w:rsid w:val="009E7847"/>
    <w:rsid w:val="009E791E"/>
    <w:rsid w:val="009E79A2"/>
    <w:rsid w:val="009E7EEB"/>
    <w:rsid w:val="009F01D5"/>
    <w:rsid w:val="009F0BEB"/>
    <w:rsid w:val="009F17B6"/>
    <w:rsid w:val="009F230E"/>
    <w:rsid w:val="009F2438"/>
    <w:rsid w:val="009F2D9C"/>
    <w:rsid w:val="009F3844"/>
    <w:rsid w:val="009F4F5F"/>
    <w:rsid w:val="009F504E"/>
    <w:rsid w:val="009F53B1"/>
    <w:rsid w:val="009F55A6"/>
    <w:rsid w:val="009F5C68"/>
    <w:rsid w:val="009F67F4"/>
    <w:rsid w:val="009F6978"/>
    <w:rsid w:val="009F69EC"/>
    <w:rsid w:val="009F6D87"/>
    <w:rsid w:val="009F6E16"/>
    <w:rsid w:val="009F6F24"/>
    <w:rsid w:val="009F70E2"/>
    <w:rsid w:val="009F7165"/>
    <w:rsid w:val="009F723A"/>
    <w:rsid w:val="009F731D"/>
    <w:rsid w:val="009F7393"/>
    <w:rsid w:val="009F7A7C"/>
    <w:rsid w:val="009F7D08"/>
    <w:rsid w:val="009F7FFB"/>
    <w:rsid w:val="00A006C1"/>
    <w:rsid w:val="00A009C8"/>
    <w:rsid w:val="00A00B7A"/>
    <w:rsid w:val="00A00D10"/>
    <w:rsid w:val="00A00F15"/>
    <w:rsid w:val="00A0109A"/>
    <w:rsid w:val="00A0130D"/>
    <w:rsid w:val="00A01350"/>
    <w:rsid w:val="00A0198E"/>
    <w:rsid w:val="00A019EF"/>
    <w:rsid w:val="00A01A71"/>
    <w:rsid w:val="00A01DCC"/>
    <w:rsid w:val="00A0215B"/>
    <w:rsid w:val="00A022DE"/>
    <w:rsid w:val="00A02359"/>
    <w:rsid w:val="00A02C42"/>
    <w:rsid w:val="00A02DE7"/>
    <w:rsid w:val="00A0315A"/>
    <w:rsid w:val="00A03D30"/>
    <w:rsid w:val="00A03FDE"/>
    <w:rsid w:val="00A042CD"/>
    <w:rsid w:val="00A0441F"/>
    <w:rsid w:val="00A044A4"/>
    <w:rsid w:val="00A05694"/>
    <w:rsid w:val="00A05DB4"/>
    <w:rsid w:val="00A05ED3"/>
    <w:rsid w:val="00A06101"/>
    <w:rsid w:val="00A06160"/>
    <w:rsid w:val="00A0620F"/>
    <w:rsid w:val="00A064AA"/>
    <w:rsid w:val="00A06D26"/>
    <w:rsid w:val="00A06F2C"/>
    <w:rsid w:val="00A07014"/>
    <w:rsid w:val="00A071F8"/>
    <w:rsid w:val="00A07368"/>
    <w:rsid w:val="00A077D4"/>
    <w:rsid w:val="00A07A49"/>
    <w:rsid w:val="00A07BB1"/>
    <w:rsid w:val="00A1085D"/>
    <w:rsid w:val="00A10B9F"/>
    <w:rsid w:val="00A10DD3"/>
    <w:rsid w:val="00A10E2B"/>
    <w:rsid w:val="00A11D24"/>
    <w:rsid w:val="00A12221"/>
    <w:rsid w:val="00A12732"/>
    <w:rsid w:val="00A12F5A"/>
    <w:rsid w:val="00A13173"/>
    <w:rsid w:val="00A136E5"/>
    <w:rsid w:val="00A13786"/>
    <w:rsid w:val="00A14147"/>
    <w:rsid w:val="00A142DA"/>
    <w:rsid w:val="00A144A9"/>
    <w:rsid w:val="00A147F3"/>
    <w:rsid w:val="00A14D4F"/>
    <w:rsid w:val="00A1502D"/>
    <w:rsid w:val="00A15258"/>
    <w:rsid w:val="00A15580"/>
    <w:rsid w:val="00A16557"/>
    <w:rsid w:val="00A16823"/>
    <w:rsid w:val="00A16951"/>
    <w:rsid w:val="00A16A1A"/>
    <w:rsid w:val="00A17594"/>
    <w:rsid w:val="00A17771"/>
    <w:rsid w:val="00A17847"/>
    <w:rsid w:val="00A17B12"/>
    <w:rsid w:val="00A20C22"/>
    <w:rsid w:val="00A20EB2"/>
    <w:rsid w:val="00A210E3"/>
    <w:rsid w:val="00A21148"/>
    <w:rsid w:val="00A21424"/>
    <w:rsid w:val="00A21829"/>
    <w:rsid w:val="00A2193C"/>
    <w:rsid w:val="00A21D3F"/>
    <w:rsid w:val="00A21E01"/>
    <w:rsid w:val="00A2223F"/>
    <w:rsid w:val="00A223B6"/>
    <w:rsid w:val="00A22697"/>
    <w:rsid w:val="00A226C6"/>
    <w:rsid w:val="00A232C6"/>
    <w:rsid w:val="00A233A4"/>
    <w:rsid w:val="00A236B4"/>
    <w:rsid w:val="00A244FD"/>
    <w:rsid w:val="00A24889"/>
    <w:rsid w:val="00A248DB"/>
    <w:rsid w:val="00A24DF6"/>
    <w:rsid w:val="00A24F8D"/>
    <w:rsid w:val="00A25487"/>
    <w:rsid w:val="00A25CC9"/>
    <w:rsid w:val="00A2629D"/>
    <w:rsid w:val="00A2666B"/>
    <w:rsid w:val="00A2676C"/>
    <w:rsid w:val="00A267A8"/>
    <w:rsid w:val="00A2689B"/>
    <w:rsid w:val="00A268DE"/>
    <w:rsid w:val="00A26ED3"/>
    <w:rsid w:val="00A30084"/>
    <w:rsid w:val="00A311A5"/>
    <w:rsid w:val="00A3168D"/>
    <w:rsid w:val="00A3181F"/>
    <w:rsid w:val="00A31B01"/>
    <w:rsid w:val="00A3217B"/>
    <w:rsid w:val="00A327FC"/>
    <w:rsid w:val="00A32C2E"/>
    <w:rsid w:val="00A32E0F"/>
    <w:rsid w:val="00A3361C"/>
    <w:rsid w:val="00A33F5E"/>
    <w:rsid w:val="00A3456B"/>
    <w:rsid w:val="00A34576"/>
    <w:rsid w:val="00A34669"/>
    <w:rsid w:val="00A3491E"/>
    <w:rsid w:val="00A35232"/>
    <w:rsid w:val="00A35F7F"/>
    <w:rsid w:val="00A35FCC"/>
    <w:rsid w:val="00A360CB"/>
    <w:rsid w:val="00A36159"/>
    <w:rsid w:val="00A37259"/>
    <w:rsid w:val="00A372C8"/>
    <w:rsid w:val="00A37F1E"/>
    <w:rsid w:val="00A4072C"/>
    <w:rsid w:val="00A41441"/>
    <w:rsid w:val="00A4146F"/>
    <w:rsid w:val="00A41B4A"/>
    <w:rsid w:val="00A42898"/>
    <w:rsid w:val="00A43964"/>
    <w:rsid w:val="00A43A9B"/>
    <w:rsid w:val="00A43CBF"/>
    <w:rsid w:val="00A4431C"/>
    <w:rsid w:val="00A44EE6"/>
    <w:rsid w:val="00A458DF"/>
    <w:rsid w:val="00A45931"/>
    <w:rsid w:val="00A45B71"/>
    <w:rsid w:val="00A45BA0"/>
    <w:rsid w:val="00A45C0B"/>
    <w:rsid w:val="00A46191"/>
    <w:rsid w:val="00A463EA"/>
    <w:rsid w:val="00A46EDE"/>
    <w:rsid w:val="00A472F6"/>
    <w:rsid w:val="00A47A4F"/>
    <w:rsid w:val="00A47AC7"/>
    <w:rsid w:val="00A501AD"/>
    <w:rsid w:val="00A50602"/>
    <w:rsid w:val="00A50895"/>
    <w:rsid w:val="00A50F5F"/>
    <w:rsid w:val="00A516FF"/>
    <w:rsid w:val="00A51B32"/>
    <w:rsid w:val="00A51EF0"/>
    <w:rsid w:val="00A528CA"/>
    <w:rsid w:val="00A5377F"/>
    <w:rsid w:val="00A53800"/>
    <w:rsid w:val="00A5384D"/>
    <w:rsid w:val="00A53932"/>
    <w:rsid w:val="00A541E1"/>
    <w:rsid w:val="00A547A0"/>
    <w:rsid w:val="00A54BCD"/>
    <w:rsid w:val="00A55100"/>
    <w:rsid w:val="00A5614D"/>
    <w:rsid w:val="00A56213"/>
    <w:rsid w:val="00A5630C"/>
    <w:rsid w:val="00A56E7F"/>
    <w:rsid w:val="00A57793"/>
    <w:rsid w:val="00A57A84"/>
    <w:rsid w:val="00A57D22"/>
    <w:rsid w:val="00A57DF7"/>
    <w:rsid w:val="00A57EA6"/>
    <w:rsid w:val="00A57F23"/>
    <w:rsid w:val="00A6065F"/>
    <w:rsid w:val="00A606B0"/>
    <w:rsid w:val="00A610E9"/>
    <w:rsid w:val="00A614FB"/>
    <w:rsid w:val="00A618D5"/>
    <w:rsid w:val="00A61F3E"/>
    <w:rsid w:val="00A62115"/>
    <w:rsid w:val="00A62566"/>
    <w:rsid w:val="00A626A3"/>
    <w:rsid w:val="00A62C25"/>
    <w:rsid w:val="00A63AD7"/>
    <w:rsid w:val="00A63CCB"/>
    <w:rsid w:val="00A643BC"/>
    <w:rsid w:val="00A64828"/>
    <w:rsid w:val="00A64B2E"/>
    <w:rsid w:val="00A64D63"/>
    <w:rsid w:val="00A64EC4"/>
    <w:rsid w:val="00A66066"/>
    <w:rsid w:val="00A660C3"/>
    <w:rsid w:val="00A662B1"/>
    <w:rsid w:val="00A666EC"/>
    <w:rsid w:val="00A667C0"/>
    <w:rsid w:val="00A71930"/>
    <w:rsid w:val="00A71CBB"/>
    <w:rsid w:val="00A72151"/>
    <w:rsid w:val="00A72307"/>
    <w:rsid w:val="00A72474"/>
    <w:rsid w:val="00A724B4"/>
    <w:rsid w:val="00A725C8"/>
    <w:rsid w:val="00A72983"/>
    <w:rsid w:val="00A72A76"/>
    <w:rsid w:val="00A72B30"/>
    <w:rsid w:val="00A73102"/>
    <w:rsid w:val="00A7315D"/>
    <w:rsid w:val="00A732E8"/>
    <w:rsid w:val="00A73318"/>
    <w:rsid w:val="00A7412F"/>
    <w:rsid w:val="00A74397"/>
    <w:rsid w:val="00A74BCA"/>
    <w:rsid w:val="00A74C76"/>
    <w:rsid w:val="00A75375"/>
    <w:rsid w:val="00A7575A"/>
    <w:rsid w:val="00A75937"/>
    <w:rsid w:val="00A7612F"/>
    <w:rsid w:val="00A7632F"/>
    <w:rsid w:val="00A767B0"/>
    <w:rsid w:val="00A769DE"/>
    <w:rsid w:val="00A76C29"/>
    <w:rsid w:val="00A76C4D"/>
    <w:rsid w:val="00A76CB4"/>
    <w:rsid w:val="00A76F11"/>
    <w:rsid w:val="00A77490"/>
    <w:rsid w:val="00A77796"/>
    <w:rsid w:val="00A777E8"/>
    <w:rsid w:val="00A7799F"/>
    <w:rsid w:val="00A77B97"/>
    <w:rsid w:val="00A77D18"/>
    <w:rsid w:val="00A804C6"/>
    <w:rsid w:val="00A80A36"/>
    <w:rsid w:val="00A80C62"/>
    <w:rsid w:val="00A80CA6"/>
    <w:rsid w:val="00A80D3C"/>
    <w:rsid w:val="00A81047"/>
    <w:rsid w:val="00A81251"/>
    <w:rsid w:val="00A818E5"/>
    <w:rsid w:val="00A820DB"/>
    <w:rsid w:val="00A821BB"/>
    <w:rsid w:val="00A825CD"/>
    <w:rsid w:val="00A82685"/>
    <w:rsid w:val="00A82AA3"/>
    <w:rsid w:val="00A82DC2"/>
    <w:rsid w:val="00A82F46"/>
    <w:rsid w:val="00A83136"/>
    <w:rsid w:val="00A83246"/>
    <w:rsid w:val="00A83784"/>
    <w:rsid w:val="00A83D44"/>
    <w:rsid w:val="00A83EF5"/>
    <w:rsid w:val="00A83FB0"/>
    <w:rsid w:val="00A840EC"/>
    <w:rsid w:val="00A85FA5"/>
    <w:rsid w:val="00A86699"/>
    <w:rsid w:val="00A86A7E"/>
    <w:rsid w:val="00A86E01"/>
    <w:rsid w:val="00A86E70"/>
    <w:rsid w:val="00A879E5"/>
    <w:rsid w:val="00A879FD"/>
    <w:rsid w:val="00A901E4"/>
    <w:rsid w:val="00A903D3"/>
    <w:rsid w:val="00A9056A"/>
    <w:rsid w:val="00A907DB"/>
    <w:rsid w:val="00A91544"/>
    <w:rsid w:val="00A918D3"/>
    <w:rsid w:val="00A91CAC"/>
    <w:rsid w:val="00A921B1"/>
    <w:rsid w:val="00A927B5"/>
    <w:rsid w:val="00A92845"/>
    <w:rsid w:val="00A93A9F"/>
    <w:rsid w:val="00A944FD"/>
    <w:rsid w:val="00A94D91"/>
    <w:rsid w:val="00A9509C"/>
    <w:rsid w:val="00A950E0"/>
    <w:rsid w:val="00A95483"/>
    <w:rsid w:val="00A95C2B"/>
    <w:rsid w:val="00A95D96"/>
    <w:rsid w:val="00A96124"/>
    <w:rsid w:val="00A96459"/>
    <w:rsid w:val="00A9661C"/>
    <w:rsid w:val="00A96C8D"/>
    <w:rsid w:val="00A9772C"/>
    <w:rsid w:val="00A9775A"/>
    <w:rsid w:val="00AA0743"/>
    <w:rsid w:val="00AA07BF"/>
    <w:rsid w:val="00AA0C3B"/>
    <w:rsid w:val="00AA0EDA"/>
    <w:rsid w:val="00AA15CB"/>
    <w:rsid w:val="00AA169C"/>
    <w:rsid w:val="00AA1F3A"/>
    <w:rsid w:val="00AA20E1"/>
    <w:rsid w:val="00AA2205"/>
    <w:rsid w:val="00AA26A4"/>
    <w:rsid w:val="00AA2ACE"/>
    <w:rsid w:val="00AA2C7A"/>
    <w:rsid w:val="00AA2CDB"/>
    <w:rsid w:val="00AA327B"/>
    <w:rsid w:val="00AA3521"/>
    <w:rsid w:val="00AA3B82"/>
    <w:rsid w:val="00AA3E99"/>
    <w:rsid w:val="00AA44D4"/>
    <w:rsid w:val="00AA4F7A"/>
    <w:rsid w:val="00AA53E3"/>
    <w:rsid w:val="00AA58B0"/>
    <w:rsid w:val="00AA5949"/>
    <w:rsid w:val="00AA5EEC"/>
    <w:rsid w:val="00AA6141"/>
    <w:rsid w:val="00AA61C3"/>
    <w:rsid w:val="00AA6529"/>
    <w:rsid w:val="00AA6C2B"/>
    <w:rsid w:val="00AA7300"/>
    <w:rsid w:val="00AA7421"/>
    <w:rsid w:val="00AA7742"/>
    <w:rsid w:val="00AA7B0A"/>
    <w:rsid w:val="00AB0EBB"/>
    <w:rsid w:val="00AB1152"/>
    <w:rsid w:val="00AB14A9"/>
    <w:rsid w:val="00AB1698"/>
    <w:rsid w:val="00AB196C"/>
    <w:rsid w:val="00AB1AB3"/>
    <w:rsid w:val="00AB1BD9"/>
    <w:rsid w:val="00AB2959"/>
    <w:rsid w:val="00AB2FAF"/>
    <w:rsid w:val="00AB3352"/>
    <w:rsid w:val="00AB3D02"/>
    <w:rsid w:val="00AB4020"/>
    <w:rsid w:val="00AB4229"/>
    <w:rsid w:val="00AB4344"/>
    <w:rsid w:val="00AB472E"/>
    <w:rsid w:val="00AB4790"/>
    <w:rsid w:val="00AB53BF"/>
    <w:rsid w:val="00AB5426"/>
    <w:rsid w:val="00AB576B"/>
    <w:rsid w:val="00AB5CB9"/>
    <w:rsid w:val="00AB6017"/>
    <w:rsid w:val="00AB6205"/>
    <w:rsid w:val="00AB6638"/>
    <w:rsid w:val="00AB739A"/>
    <w:rsid w:val="00AB74EB"/>
    <w:rsid w:val="00AC142C"/>
    <w:rsid w:val="00AC1C0F"/>
    <w:rsid w:val="00AC1C43"/>
    <w:rsid w:val="00AC24A1"/>
    <w:rsid w:val="00AC2866"/>
    <w:rsid w:val="00AC290E"/>
    <w:rsid w:val="00AC3621"/>
    <w:rsid w:val="00AC38DC"/>
    <w:rsid w:val="00AC39A3"/>
    <w:rsid w:val="00AC4AC7"/>
    <w:rsid w:val="00AC4DFD"/>
    <w:rsid w:val="00AC4E8C"/>
    <w:rsid w:val="00AC50AA"/>
    <w:rsid w:val="00AC5360"/>
    <w:rsid w:val="00AC5497"/>
    <w:rsid w:val="00AC5E9F"/>
    <w:rsid w:val="00AC64AD"/>
    <w:rsid w:val="00AC665B"/>
    <w:rsid w:val="00AC6AE4"/>
    <w:rsid w:val="00AC6E16"/>
    <w:rsid w:val="00AC73D5"/>
    <w:rsid w:val="00AC79A9"/>
    <w:rsid w:val="00AD01E9"/>
    <w:rsid w:val="00AD0EFA"/>
    <w:rsid w:val="00AD1238"/>
    <w:rsid w:val="00AD1268"/>
    <w:rsid w:val="00AD1537"/>
    <w:rsid w:val="00AD1584"/>
    <w:rsid w:val="00AD17F8"/>
    <w:rsid w:val="00AD1E00"/>
    <w:rsid w:val="00AD1FEF"/>
    <w:rsid w:val="00AD211E"/>
    <w:rsid w:val="00AD2BC8"/>
    <w:rsid w:val="00AD2C2C"/>
    <w:rsid w:val="00AD332B"/>
    <w:rsid w:val="00AD332D"/>
    <w:rsid w:val="00AD3669"/>
    <w:rsid w:val="00AD3A1A"/>
    <w:rsid w:val="00AD3BB0"/>
    <w:rsid w:val="00AD3C68"/>
    <w:rsid w:val="00AD49DB"/>
    <w:rsid w:val="00AD4D89"/>
    <w:rsid w:val="00AD56DF"/>
    <w:rsid w:val="00AD5C66"/>
    <w:rsid w:val="00AD5F45"/>
    <w:rsid w:val="00AD61AB"/>
    <w:rsid w:val="00AD6CD5"/>
    <w:rsid w:val="00AD6CFC"/>
    <w:rsid w:val="00AD6E42"/>
    <w:rsid w:val="00AD736B"/>
    <w:rsid w:val="00AD76A7"/>
    <w:rsid w:val="00AD7778"/>
    <w:rsid w:val="00AD7AC6"/>
    <w:rsid w:val="00AE01C0"/>
    <w:rsid w:val="00AE0483"/>
    <w:rsid w:val="00AE062E"/>
    <w:rsid w:val="00AE095F"/>
    <w:rsid w:val="00AE1651"/>
    <w:rsid w:val="00AE1777"/>
    <w:rsid w:val="00AE1D85"/>
    <w:rsid w:val="00AE1EE4"/>
    <w:rsid w:val="00AE1F7A"/>
    <w:rsid w:val="00AE2EA2"/>
    <w:rsid w:val="00AE42BF"/>
    <w:rsid w:val="00AE4590"/>
    <w:rsid w:val="00AE4A81"/>
    <w:rsid w:val="00AE4C80"/>
    <w:rsid w:val="00AE51A4"/>
    <w:rsid w:val="00AE53DB"/>
    <w:rsid w:val="00AE541B"/>
    <w:rsid w:val="00AE5F6E"/>
    <w:rsid w:val="00AE6120"/>
    <w:rsid w:val="00AE64DD"/>
    <w:rsid w:val="00AE744E"/>
    <w:rsid w:val="00AE7686"/>
    <w:rsid w:val="00AE783E"/>
    <w:rsid w:val="00AE78F0"/>
    <w:rsid w:val="00AF0B5B"/>
    <w:rsid w:val="00AF1005"/>
    <w:rsid w:val="00AF1824"/>
    <w:rsid w:val="00AF1C1C"/>
    <w:rsid w:val="00AF22AA"/>
    <w:rsid w:val="00AF2F14"/>
    <w:rsid w:val="00AF33FD"/>
    <w:rsid w:val="00AF3744"/>
    <w:rsid w:val="00AF3C2D"/>
    <w:rsid w:val="00AF419A"/>
    <w:rsid w:val="00AF42A3"/>
    <w:rsid w:val="00AF4AD0"/>
    <w:rsid w:val="00AF4FBA"/>
    <w:rsid w:val="00AF5CBC"/>
    <w:rsid w:val="00AF5E7A"/>
    <w:rsid w:val="00AF6116"/>
    <w:rsid w:val="00AF67BD"/>
    <w:rsid w:val="00AF6810"/>
    <w:rsid w:val="00AF6A6E"/>
    <w:rsid w:val="00AF6D4C"/>
    <w:rsid w:val="00AF7446"/>
    <w:rsid w:val="00AF7809"/>
    <w:rsid w:val="00AF7B2C"/>
    <w:rsid w:val="00AF7C97"/>
    <w:rsid w:val="00AF7E81"/>
    <w:rsid w:val="00AF7EC4"/>
    <w:rsid w:val="00B006AD"/>
    <w:rsid w:val="00B0075E"/>
    <w:rsid w:val="00B00AA9"/>
    <w:rsid w:val="00B01861"/>
    <w:rsid w:val="00B02C58"/>
    <w:rsid w:val="00B034B3"/>
    <w:rsid w:val="00B038EA"/>
    <w:rsid w:val="00B039D9"/>
    <w:rsid w:val="00B04687"/>
    <w:rsid w:val="00B0488B"/>
    <w:rsid w:val="00B048AF"/>
    <w:rsid w:val="00B051F3"/>
    <w:rsid w:val="00B05741"/>
    <w:rsid w:val="00B05802"/>
    <w:rsid w:val="00B05A2C"/>
    <w:rsid w:val="00B05F04"/>
    <w:rsid w:val="00B05F84"/>
    <w:rsid w:val="00B06D20"/>
    <w:rsid w:val="00B0718E"/>
    <w:rsid w:val="00B07D92"/>
    <w:rsid w:val="00B07DF2"/>
    <w:rsid w:val="00B101F5"/>
    <w:rsid w:val="00B10764"/>
    <w:rsid w:val="00B10857"/>
    <w:rsid w:val="00B10FD9"/>
    <w:rsid w:val="00B11303"/>
    <w:rsid w:val="00B11655"/>
    <w:rsid w:val="00B117FB"/>
    <w:rsid w:val="00B118E9"/>
    <w:rsid w:val="00B11A4F"/>
    <w:rsid w:val="00B11B50"/>
    <w:rsid w:val="00B11DA3"/>
    <w:rsid w:val="00B1202F"/>
    <w:rsid w:val="00B122DD"/>
    <w:rsid w:val="00B12423"/>
    <w:rsid w:val="00B12725"/>
    <w:rsid w:val="00B12D05"/>
    <w:rsid w:val="00B136F9"/>
    <w:rsid w:val="00B13A29"/>
    <w:rsid w:val="00B14583"/>
    <w:rsid w:val="00B14981"/>
    <w:rsid w:val="00B14ED4"/>
    <w:rsid w:val="00B15185"/>
    <w:rsid w:val="00B151D0"/>
    <w:rsid w:val="00B15220"/>
    <w:rsid w:val="00B1564B"/>
    <w:rsid w:val="00B158BB"/>
    <w:rsid w:val="00B160DA"/>
    <w:rsid w:val="00B16F94"/>
    <w:rsid w:val="00B1735E"/>
    <w:rsid w:val="00B175D5"/>
    <w:rsid w:val="00B1792F"/>
    <w:rsid w:val="00B17B0C"/>
    <w:rsid w:val="00B17B31"/>
    <w:rsid w:val="00B17CA2"/>
    <w:rsid w:val="00B200D3"/>
    <w:rsid w:val="00B20250"/>
    <w:rsid w:val="00B202C9"/>
    <w:rsid w:val="00B20816"/>
    <w:rsid w:val="00B2084A"/>
    <w:rsid w:val="00B21D7C"/>
    <w:rsid w:val="00B21DEB"/>
    <w:rsid w:val="00B21F31"/>
    <w:rsid w:val="00B2200C"/>
    <w:rsid w:val="00B22211"/>
    <w:rsid w:val="00B222BE"/>
    <w:rsid w:val="00B22498"/>
    <w:rsid w:val="00B22588"/>
    <w:rsid w:val="00B2286A"/>
    <w:rsid w:val="00B23172"/>
    <w:rsid w:val="00B23245"/>
    <w:rsid w:val="00B239B4"/>
    <w:rsid w:val="00B24D4A"/>
    <w:rsid w:val="00B24D5D"/>
    <w:rsid w:val="00B24D6A"/>
    <w:rsid w:val="00B25057"/>
    <w:rsid w:val="00B25DE1"/>
    <w:rsid w:val="00B25FAF"/>
    <w:rsid w:val="00B261DD"/>
    <w:rsid w:val="00B26DFF"/>
    <w:rsid w:val="00B27020"/>
    <w:rsid w:val="00B27CF3"/>
    <w:rsid w:val="00B3040D"/>
    <w:rsid w:val="00B3067A"/>
    <w:rsid w:val="00B312EE"/>
    <w:rsid w:val="00B3153A"/>
    <w:rsid w:val="00B3244D"/>
    <w:rsid w:val="00B3285E"/>
    <w:rsid w:val="00B329D0"/>
    <w:rsid w:val="00B32BF8"/>
    <w:rsid w:val="00B32CD1"/>
    <w:rsid w:val="00B333A0"/>
    <w:rsid w:val="00B335E5"/>
    <w:rsid w:val="00B337C5"/>
    <w:rsid w:val="00B33856"/>
    <w:rsid w:val="00B33C76"/>
    <w:rsid w:val="00B33ECD"/>
    <w:rsid w:val="00B34382"/>
    <w:rsid w:val="00B3439D"/>
    <w:rsid w:val="00B346B2"/>
    <w:rsid w:val="00B354F8"/>
    <w:rsid w:val="00B35B13"/>
    <w:rsid w:val="00B36D33"/>
    <w:rsid w:val="00B36D7A"/>
    <w:rsid w:val="00B3711F"/>
    <w:rsid w:val="00B37183"/>
    <w:rsid w:val="00B372F7"/>
    <w:rsid w:val="00B376D3"/>
    <w:rsid w:val="00B37926"/>
    <w:rsid w:val="00B37C09"/>
    <w:rsid w:val="00B37D8D"/>
    <w:rsid w:val="00B40018"/>
    <w:rsid w:val="00B40933"/>
    <w:rsid w:val="00B40B8B"/>
    <w:rsid w:val="00B40C11"/>
    <w:rsid w:val="00B40C3C"/>
    <w:rsid w:val="00B40FAB"/>
    <w:rsid w:val="00B4100D"/>
    <w:rsid w:val="00B41116"/>
    <w:rsid w:val="00B41153"/>
    <w:rsid w:val="00B41272"/>
    <w:rsid w:val="00B4132C"/>
    <w:rsid w:val="00B41331"/>
    <w:rsid w:val="00B4144B"/>
    <w:rsid w:val="00B4157B"/>
    <w:rsid w:val="00B42051"/>
    <w:rsid w:val="00B421D2"/>
    <w:rsid w:val="00B42D91"/>
    <w:rsid w:val="00B435AF"/>
    <w:rsid w:val="00B43798"/>
    <w:rsid w:val="00B441DC"/>
    <w:rsid w:val="00B44942"/>
    <w:rsid w:val="00B44C83"/>
    <w:rsid w:val="00B44CDA"/>
    <w:rsid w:val="00B4501E"/>
    <w:rsid w:val="00B45032"/>
    <w:rsid w:val="00B45331"/>
    <w:rsid w:val="00B45CE2"/>
    <w:rsid w:val="00B461A6"/>
    <w:rsid w:val="00B466A5"/>
    <w:rsid w:val="00B466F6"/>
    <w:rsid w:val="00B46B80"/>
    <w:rsid w:val="00B46ED8"/>
    <w:rsid w:val="00B4741A"/>
    <w:rsid w:val="00B47831"/>
    <w:rsid w:val="00B506AE"/>
    <w:rsid w:val="00B506D7"/>
    <w:rsid w:val="00B509D4"/>
    <w:rsid w:val="00B50DC8"/>
    <w:rsid w:val="00B5105A"/>
    <w:rsid w:val="00B511A7"/>
    <w:rsid w:val="00B5162F"/>
    <w:rsid w:val="00B51871"/>
    <w:rsid w:val="00B52119"/>
    <w:rsid w:val="00B52178"/>
    <w:rsid w:val="00B5277C"/>
    <w:rsid w:val="00B528D3"/>
    <w:rsid w:val="00B52FFA"/>
    <w:rsid w:val="00B53271"/>
    <w:rsid w:val="00B53C2D"/>
    <w:rsid w:val="00B53DB2"/>
    <w:rsid w:val="00B53FE8"/>
    <w:rsid w:val="00B540C2"/>
    <w:rsid w:val="00B54132"/>
    <w:rsid w:val="00B5436C"/>
    <w:rsid w:val="00B54B49"/>
    <w:rsid w:val="00B54BE4"/>
    <w:rsid w:val="00B55063"/>
    <w:rsid w:val="00B558E3"/>
    <w:rsid w:val="00B55DC7"/>
    <w:rsid w:val="00B565C4"/>
    <w:rsid w:val="00B56632"/>
    <w:rsid w:val="00B573C1"/>
    <w:rsid w:val="00B600F7"/>
    <w:rsid w:val="00B60393"/>
    <w:rsid w:val="00B60C99"/>
    <w:rsid w:val="00B61EC4"/>
    <w:rsid w:val="00B620E1"/>
    <w:rsid w:val="00B6280A"/>
    <w:rsid w:val="00B63077"/>
    <w:rsid w:val="00B6336F"/>
    <w:rsid w:val="00B6338E"/>
    <w:rsid w:val="00B63709"/>
    <w:rsid w:val="00B637AC"/>
    <w:rsid w:val="00B644F8"/>
    <w:rsid w:val="00B64692"/>
    <w:rsid w:val="00B64808"/>
    <w:rsid w:val="00B64F07"/>
    <w:rsid w:val="00B6525C"/>
    <w:rsid w:val="00B65457"/>
    <w:rsid w:val="00B6570D"/>
    <w:rsid w:val="00B65835"/>
    <w:rsid w:val="00B65961"/>
    <w:rsid w:val="00B6625D"/>
    <w:rsid w:val="00B664A6"/>
    <w:rsid w:val="00B66B2F"/>
    <w:rsid w:val="00B66F61"/>
    <w:rsid w:val="00B67B56"/>
    <w:rsid w:val="00B706C8"/>
    <w:rsid w:val="00B71237"/>
    <w:rsid w:val="00B71261"/>
    <w:rsid w:val="00B71921"/>
    <w:rsid w:val="00B71CD2"/>
    <w:rsid w:val="00B71D20"/>
    <w:rsid w:val="00B71D4F"/>
    <w:rsid w:val="00B71EA4"/>
    <w:rsid w:val="00B72DC9"/>
    <w:rsid w:val="00B73B11"/>
    <w:rsid w:val="00B74747"/>
    <w:rsid w:val="00B74EA2"/>
    <w:rsid w:val="00B75325"/>
    <w:rsid w:val="00B75928"/>
    <w:rsid w:val="00B75A0D"/>
    <w:rsid w:val="00B75D2C"/>
    <w:rsid w:val="00B75E38"/>
    <w:rsid w:val="00B765B0"/>
    <w:rsid w:val="00B76C50"/>
    <w:rsid w:val="00B775A0"/>
    <w:rsid w:val="00B77E55"/>
    <w:rsid w:val="00B77E63"/>
    <w:rsid w:val="00B80099"/>
    <w:rsid w:val="00B8067F"/>
    <w:rsid w:val="00B806FF"/>
    <w:rsid w:val="00B810C3"/>
    <w:rsid w:val="00B81F70"/>
    <w:rsid w:val="00B8237E"/>
    <w:rsid w:val="00B82B88"/>
    <w:rsid w:val="00B82E79"/>
    <w:rsid w:val="00B833AC"/>
    <w:rsid w:val="00B84777"/>
    <w:rsid w:val="00B84813"/>
    <w:rsid w:val="00B84D1E"/>
    <w:rsid w:val="00B84DF8"/>
    <w:rsid w:val="00B8500A"/>
    <w:rsid w:val="00B85257"/>
    <w:rsid w:val="00B8529A"/>
    <w:rsid w:val="00B85AB5"/>
    <w:rsid w:val="00B85B23"/>
    <w:rsid w:val="00B85CAC"/>
    <w:rsid w:val="00B86AD5"/>
    <w:rsid w:val="00B86D06"/>
    <w:rsid w:val="00B90179"/>
    <w:rsid w:val="00B9054E"/>
    <w:rsid w:val="00B90C8B"/>
    <w:rsid w:val="00B91AB9"/>
    <w:rsid w:val="00B91BAD"/>
    <w:rsid w:val="00B91C1D"/>
    <w:rsid w:val="00B91E00"/>
    <w:rsid w:val="00B9208E"/>
    <w:rsid w:val="00B9233B"/>
    <w:rsid w:val="00B924D7"/>
    <w:rsid w:val="00B92A20"/>
    <w:rsid w:val="00B932FF"/>
    <w:rsid w:val="00B9340D"/>
    <w:rsid w:val="00B93B2A"/>
    <w:rsid w:val="00B93DEA"/>
    <w:rsid w:val="00B94306"/>
    <w:rsid w:val="00B9441F"/>
    <w:rsid w:val="00B94E52"/>
    <w:rsid w:val="00B94E8A"/>
    <w:rsid w:val="00B95346"/>
    <w:rsid w:val="00B9548F"/>
    <w:rsid w:val="00B95503"/>
    <w:rsid w:val="00B95EF4"/>
    <w:rsid w:val="00B96BFB"/>
    <w:rsid w:val="00B97686"/>
    <w:rsid w:val="00B97862"/>
    <w:rsid w:val="00BA0030"/>
    <w:rsid w:val="00BA0EAA"/>
    <w:rsid w:val="00BA1FDB"/>
    <w:rsid w:val="00BA2110"/>
    <w:rsid w:val="00BA2511"/>
    <w:rsid w:val="00BA277B"/>
    <w:rsid w:val="00BA2C57"/>
    <w:rsid w:val="00BA37E6"/>
    <w:rsid w:val="00BA3903"/>
    <w:rsid w:val="00BA3DF1"/>
    <w:rsid w:val="00BA4513"/>
    <w:rsid w:val="00BA4908"/>
    <w:rsid w:val="00BA4AB6"/>
    <w:rsid w:val="00BA4E23"/>
    <w:rsid w:val="00BA57CE"/>
    <w:rsid w:val="00BA5C46"/>
    <w:rsid w:val="00BA67E3"/>
    <w:rsid w:val="00BA6AD8"/>
    <w:rsid w:val="00BA6AF2"/>
    <w:rsid w:val="00BA6F9E"/>
    <w:rsid w:val="00BA7307"/>
    <w:rsid w:val="00BA746D"/>
    <w:rsid w:val="00BA77C6"/>
    <w:rsid w:val="00BA77E0"/>
    <w:rsid w:val="00BA79FB"/>
    <w:rsid w:val="00BA7E2E"/>
    <w:rsid w:val="00BB0CF8"/>
    <w:rsid w:val="00BB0EFB"/>
    <w:rsid w:val="00BB15C1"/>
    <w:rsid w:val="00BB1DA1"/>
    <w:rsid w:val="00BB2158"/>
    <w:rsid w:val="00BB21AC"/>
    <w:rsid w:val="00BB2905"/>
    <w:rsid w:val="00BB2A09"/>
    <w:rsid w:val="00BB34BF"/>
    <w:rsid w:val="00BB3E2B"/>
    <w:rsid w:val="00BB4001"/>
    <w:rsid w:val="00BB4BCC"/>
    <w:rsid w:val="00BB4CA5"/>
    <w:rsid w:val="00BB5088"/>
    <w:rsid w:val="00BB529A"/>
    <w:rsid w:val="00BB52EF"/>
    <w:rsid w:val="00BB57AD"/>
    <w:rsid w:val="00BB5F4B"/>
    <w:rsid w:val="00BB611C"/>
    <w:rsid w:val="00BB69CA"/>
    <w:rsid w:val="00BB6B2D"/>
    <w:rsid w:val="00BB738F"/>
    <w:rsid w:val="00BB7D3C"/>
    <w:rsid w:val="00BB7D78"/>
    <w:rsid w:val="00BB7D7C"/>
    <w:rsid w:val="00BB7FC7"/>
    <w:rsid w:val="00BC06E1"/>
    <w:rsid w:val="00BC0D13"/>
    <w:rsid w:val="00BC0D72"/>
    <w:rsid w:val="00BC113B"/>
    <w:rsid w:val="00BC120D"/>
    <w:rsid w:val="00BC13FF"/>
    <w:rsid w:val="00BC1436"/>
    <w:rsid w:val="00BC19BF"/>
    <w:rsid w:val="00BC20AB"/>
    <w:rsid w:val="00BC2235"/>
    <w:rsid w:val="00BC27B8"/>
    <w:rsid w:val="00BC3064"/>
    <w:rsid w:val="00BC3283"/>
    <w:rsid w:val="00BC3708"/>
    <w:rsid w:val="00BC3829"/>
    <w:rsid w:val="00BC3C46"/>
    <w:rsid w:val="00BC40E8"/>
    <w:rsid w:val="00BC4B7F"/>
    <w:rsid w:val="00BC5252"/>
    <w:rsid w:val="00BC52E7"/>
    <w:rsid w:val="00BC5C73"/>
    <w:rsid w:val="00BC5D90"/>
    <w:rsid w:val="00BC6DED"/>
    <w:rsid w:val="00BC782F"/>
    <w:rsid w:val="00BC789F"/>
    <w:rsid w:val="00BC7C47"/>
    <w:rsid w:val="00BC7F9D"/>
    <w:rsid w:val="00BC7FD1"/>
    <w:rsid w:val="00BD074A"/>
    <w:rsid w:val="00BD0B74"/>
    <w:rsid w:val="00BD1A65"/>
    <w:rsid w:val="00BD1C32"/>
    <w:rsid w:val="00BD1E1D"/>
    <w:rsid w:val="00BD20E1"/>
    <w:rsid w:val="00BD2413"/>
    <w:rsid w:val="00BD2D1F"/>
    <w:rsid w:val="00BD3921"/>
    <w:rsid w:val="00BD40BA"/>
    <w:rsid w:val="00BD40C4"/>
    <w:rsid w:val="00BD4461"/>
    <w:rsid w:val="00BD477D"/>
    <w:rsid w:val="00BD4B10"/>
    <w:rsid w:val="00BD4C1C"/>
    <w:rsid w:val="00BD4D7F"/>
    <w:rsid w:val="00BD5002"/>
    <w:rsid w:val="00BD504B"/>
    <w:rsid w:val="00BD532B"/>
    <w:rsid w:val="00BD55FC"/>
    <w:rsid w:val="00BD589E"/>
    <w:rsid w:val="00BD5D0A"/>
    <w:rsid w:val="00BD5E69"/>
    <w:rsid w:val="00BD5EAA"/>
    <w:rsid w:val="00BD703F"/>
    <w:rsid w:val="00BD71BA"/>
    <w:rsid w:val="00BD7320"/>
    <w:rsid w:val="00BD78AE"/>
    <w:rsid w:val="00BE007A"/>
    <w:rsid w:val="00BE0B69"/>
    <w:rsid w:val="00BE162D"/>
    <w:rsid w:val="00BE167A"/>
    <w:rsid w:val="00BE175E"/>
    <w:rsid w:val="00BE1778"/>
    <w:rsid w:val="00BE180F"/>
    <w:rsid w:val="00BE18AA"/>
    <w:rsid w:val="00BE1DE5"/>
    <w:rsid w:val="00BE224E"/>
    <w:rsid w:val="00BE2977"/>
    <w:rsid w:val="00BE2DCF"/>
    <w:rsid w:val="00BE3528"/>
    <w:rsid w:val="00BE3553"/>
    <w:rsid w:val="00BE4058"/>
    <w:rsid w:val="00BE4273"/>
    <w:rsid w:val="00BE4DCB"/>
    <w:rsid w:val="00BE5A71"/>
    <w:rsid w:val="00BE5ACC"/>
    <w:rsid w:val="00BE5DCB"/>
    <w:rsid w:val="00BE607E"/>
    <w:rsid w:val="00BE76F4"/>
    <w:rsid w:val="00BE7A49"/>
    <w:rsid w:val="00BF01CB"/>
    <w:rsid w:val="00BF05D7"/>
    <w:rsid w:val="00BF12B1"/>
    <w:rsid w:val="00BF2A37"/>
    <w:rsid w:val="00BF2EAC"/>
    <w:rsid w:val="00BF34ED"/>
    <w:rsid w:val="00BF3643"/>
    <w:rsid w:val="00BF38AE"/>
    <w:rsid w:val="00BF39E9"/>
    <w:rsid w:val="00BF39FC"/>
    <w:rsid w:val="00BF3B8C"/>
    <w:rsid w:val="00BF4BC6"/>
    <w:rsid w:val="00BF54AE"/>
    <w:rsid w:val="00BF5C56"/>
    <w:rsid w:val="00BF5DE6"/>
    <w:rsid w:val="00BF63D3"/>
    <w:rsid w:val="00BF690E"/>
    <w:rsid w:val="00BF6943"/>
    <w:rsid w:val="00BF7193"/>
    <w:rsid w:val="00BF71B6"/>
    <w:rsid w:val="00BF75FC"/>
    <w:rsid w:val="00BF78F0"/>
    <w:rsid w:val="00C0056A"/>
    <w:rsid w:val="00C005DF"/>
    <w:rsid w:val="00C00629"/>
    <w:rsid w:val="00C00704"/>
    <w:rsid w:val="00C013F9"/>
    <w:rsid w:val="00C02482"/>
    <w:rsid w:val="00C02626"/>
    <w:rsid w:val="00C0277D"/>
    <w:rsid w:val="00C027A0"/>
    <w:rsid w:val="00C02A2F"/>
    <w:rsid w:val="00C0328E"/>
    <w:rsid w:val="00C03383"/>
    <w:rsid w:val="00C03AED"/>
    <w:rsid w:val="00C0424F"/>
    <w:rsid w:val="00C0443F"/>
    <w:rsid w:val="00C04711"/>
    <w:rsid w:val="00C04B75"/>
    <w:rsid w:val="00C04DDF"/>
    <w:rsid w:val="00C04DEA"/>
    <w:rsid w:val="00C053D5"/>
    <w:rsid w:val="00C053FD"/>
    <w:rsid w:val="00C0566B"/>
    <w:rsid w:val="00C059DD"/>
    <w:rsid w:val="00C05AB0"/>
    <w:rsid w:val="00C05B87"/>
    <w:rsid w:val="00C05C9E"/>
    <w:rsid w:val="00C06096"/>
    <w:rsid w:val="00C066BA"/>
    <w:rsid w:val="00C06A1B"/>
    <w:rsid w:val="00C07206"/>
    <w:rsid w:val="00C0782C"/>
    <w:rsid w:val="00C07A59"/>
    <w:rsid w:val="00C07C1B"/>
    <w:rsid w:val="00C10276"/>
    <w:rsid w:val="00C1027C"/>
    <w:rsid w:val="00C10317"/>
    <w:rsid w:val="00C105AC"/>
    <w:rsid w:val="00C107CE"/>
    <w:rsid w:val="00C109CB"/>
    <w:rsid w:val="00C11524"/>
    <w:rsid w:val="00C1212E"/>
    <w:rsid w:val="00C121F1"/>
    <w:rsid w:val="00C12275"/>
    <w:rsid w:val="00C125B7"/>
    <w:rsid w:val="00C12D7C"/>
    <w:rsid w:val="00C12EA2"/>
    <w:rsid w:val="00C12FF0"/>
    <w:rsid w:val="00C134B5"/>
    <w:rsid w:val="00C13FC2"/>
    <w:rsid w:val="00C141F1"/>
    <w:rsid w:val="00C14444"/>
    <w:rsid w:val="00C145D2"/>
    <w:rsid w:val="00C1465E"/>
    <w:rsid w:val="00C1473B"/>
    <w:rsid w:val="00C147DC"/>
    <w:rsid w:val="00C147FC"/>
    <w:rsid w:val="00C15CA1"/>
    <w:rsid w:val="00C16317"/>
    <w:rsid w:val="00C16367"/>
    <w:rsid w:val="00C165E3"/>
    <w:rsid w:val="00C16AE6"/>
    <w:rsid w:val="00C16F37"/>
    <w:rsid w:val="00C177B2"/>
    <w:rsid w:val="00C17A87"/>
    <w:rsid w:val="00C20201"/>
    <w:rsid w:val="00C202B5"/>
    <w:rsid w:val="00C20926"/>
    <w:rsid w:val="00C20EF1"/>
    <w:rsid w:val="00C21146"/>
    <w:rsid w:val="00C216EC"/>
    <w:rsid w:val="00C21AA7"/>
    <w:rsid w:val="00C21DCD"/>
    <w:rsid w:val="00C2295F"/>
    <w:rsid w:val="00C23015"/>
    <w:rsid w:val="00C232A4"/>
    <w:rsid w:val="00C23675"/>
    <w:rsid w:val="00C2396F"/>
    <w:rsid w:val="00C23BCC"/>
    <w:rsid w:val="00C2470E"/>
    <w:rsid w:val="00C24CE5"/>
    <w:rsid w:val="00C24ECF"/>
    <w:rsid w:val="00C25B6C"/>
    <w:rsid w:val="00C25E48"/>
    <w:rsid w:val="00C2619C"/>
    <w:rsid w:val="00C2690D"/>
    <w:rsid w:val="00C26E8A"/>
    <w:rsid w:val="00C2724A"/>
    <w:rsid w:val="00C27429"/>
    <w:rsid w:val="00C27688"/>
    <w:rsid w:val="00C2768F"/>
    <w:rsid w:val="00C27A44"/>
    <w:rsid w:val="00C27B51"/>
    <w:rsid w:val="00C27F4F"/>
    <w:rsid w:val="00C30087"/>
    <w:rsid w:val="00C3049A"/>
    <w:rsid w:val="00C30944"/>
    <w:rsid w:val="00C309A5"/>
    <w:rsid w:val="00C30B5C"/>
    <w:rsid w:val="00C30D1F"/>
    <w:rsid w:val="00C30F32"/>
    <w:rsid w:val="00C31F79"/>
    <w:rsid w:val="00C3208F"/>
    <w:rsid w:val="00C32A0F"/>
    <w:rsid w:val="00C33897"/>
    <w:rsid w:val="00C33E09"/>
    <w:rsid w:val="00C34578"/>
    <w:rsid w:val="00C3477B"/>
    <w:rsid w:val="00C34FFF"/>
    <w:rsid w:val="00C352A9"/>
    <w:rsid w:val="00C355FC"/>
    <w:rsid w:val="00C35D4E"/>
    <w:rsid w:val="00C3626A"/>
    <w:rsid w:val="00C36849"/>
    <w:rsid w:val="00C36F27"/>
    <w:rsid w:val="00C3702B"/>
    <w:rsid w:val="00C37054"/>
    <w:rsid w:val="00C37990"/>
    <w:rsid w:val="00C37D44"/>
    <w:rsid w:val="00C37D7F"/>
    <w:rsid w:val="00C37E38"/>
    <w:rsid w:val="00C40095"/>
    <w:rsid w:val="00C40114"/>
    <w:rsid w:val="00C40215"/>
    <w:rsid w:val="00C40BC4"/>
    <w:rsid w:val="00C41156"/>
    <w:rsid w:val="00C4119C"/>
    <w:rsid w:val="00C41B8F"/>
    <w:rsid w:val="00C41F0C"/>
    <w:rsid w:val="00C423F9"/>
    <w:rsid w:val="00C425EC"/>
    <w:rsid w:val="00C42AA5"/>
    <w:rsid w:val="00C42CFB"/>
    <w:rsid w:val="00C42DC4"/>
    <w:rsid w:val="00C43051"/>
    <w:rsid w:val="00C43641"/>
    <w:rsid w:val="00C438E6"/>
    <w:rsid w:val="00C44A12"/>
    <w:rsid w:val="00C45556"/>
    <w:rsid w:val="00C45882"/>
    <w:rsid w:val="00C45A67"/>
    <w:rsid w:val="00C46112"/>
    <w:rsid w:val="00C46493"/>
    <w:rsid w:val="00C46671"/>
    <w:rsid w:val="00C467F5"/>
    <w:rsid w:val="00C47027"/>
    <w:rsid w:val="00C473EA"/>
    <w:rsid w:val="00C477B9"/>
    <w:rsid w:val="00C47865"/>
    <w:rsid w:val="00C47C82"/>
    <w:rsid w:val="00C47EF2"/>
    <w:rsid w:val="00C47F86"/>
    <w:rsid w:val="00C5018B"/>
    <w:rsid w:val="00C50368"/>
    <w:rsid w:val="00C506E8"/>
    <w:rsid w:val="00C50E3F"/>
    <w:rsid w:val="00C50F5B"/>
    <w:rsid w:val="00C51D13"/>
    <w:rsid w:val="00C520BB"/>
    <w:rsid w:val="00C5220C"/>
    <w:rsid w:val="00C5251E"/>
    <w:rsid w:val="00C534C9"/>
    <w:rsid w:val="00C54125"/>
    <w:rsid w:val="00C5412B"/>
    <w:rsid w:val="00C5468E"/>
    <w:rsid w:val="00C54749"/>
    <w:rsid w:val="00C5508F"/>
    <w:rsid w:val="00C550C2"/>
    <w:rsid w:val="00C55D30"/>
    <w:rsid w:val="00C55DE0"/>
    <w:rsid w:val="00C55E91"/>
    <w:rsid w:val="00C56620"/>
    <w:rsid w:val="00C5715A"/>
    <w:rsid w:val="00C57910"/>
    <w:rsid w:val="00C57B29"/>
    <w:rsid w:val="00C604C1"/>
    <w:rsid w:val="00C6117C"/>
    <w:rsid w:val="00C61500"/>
    <w:rsid w:val="00C6197E"/>
    <w:rsid w:val="00C61D9A"/>
    <w:rsid w:val="00C6237B"/>
    <w:rsid w:val="00C62801"/>
    <w:rsid w:val="00C63294"/>
    <w:rsid w:val="00C63A45"/>
    <w:rsid w:val="00C63E72"/>
    <w:rsid w:val="00C64407"/>
    <w:rsid w:val="00C652F4"/>
    <w:rsid w:val="00C65B4C"/>
    <w:rsid w:val="00C65C7A"/>
    <w:rsid w:val="00C66299"/>
    <w:rsid w:val="00C6658C"/>
    <w:rsid w:val="00C665E3"/>
    <w:rsid w:val="00C6675D"/>
    <w:rsid w:val="00C66763"/>
    <w:rsid w:val="00C668CB"/>
    <w:rsid w:val="00C66C84"/>
    <w:rsid w:val="00C66CAB"/>
    <w:rsid w:val="00C67567"/>
    <w:rsid w:val="00C67E1D"/>
    <w:rsid w:val="00C70010"/>
    <w:rsid w:val="00C7171A"/>
    <w:rsid w:val="00C71E84"/>
    <w:rsid w:val="00C7209B"/>
    <w:rsid w:val="00C722B8"/>
    <w:rsid w:val="00C72590"/>
    <w:rsid w:val="00C726FA"/>
    <w:rsid w:val="00C7283D"/>
    <w:rsid w:val="00C72868"/>
    <w:rsid w:val="00C729EF"/>
    <w:rsid w:val="00C72FA9"/>
    <w:rsid w:val="00C73591"/>
    <w:rsid w:val="00C73D00"/>
    <w:rsid w:val="00C743A5"/>
    <w:rsid w:val="00C74526"/>
    <w:rsid w:val="00C74B37"/>
    <w:rsid w:val="00C74B88"/>
    <w:rsid w:val="00C74DE1"/>
    <w:rsid w:val="00C750E0"/>
    <w:rsid w:val="00C7529F"/>
    <w:rsid w:val="00C76932"/>
    <w:rsid w:val="00C770DB"/>
    <w:rsid w:val="00C77441"/>
    <w:rsid w:val="00C77A0E"/>
    <w:rsid w:val="00C77D45"/>
    <w:rsid w:val="00C77DC6"/>
    <w:rsid w:val="00C77E0D"/>
    <w:rsid w:val="00C8033E"/>
    <w:rsid w:val="00C80612"/>
    <w:rsid w:val="00C806BA"/>
    <w:rsid w:val="00C80808"/>
    <w:rsid w:val="00C809C6"/>
    <w:rsid w:val="00C80A37"/>
    <w:rsid w:val="00C820A2"/>
    <w:rsid w:val="00C82CE6"/>
    <w:rsid w:val="00C82E79"/>
    <w:rsid w:val="00C82F26"/>
    <w:rsid w:val="00C83460"/>
    <w:rsid w:val="00C83D73"/>
    <w:rsid w:val="00C83F2F"/>
    <w:rsid w:val="00C842FC"/>
    <w:rsid w:val="00C84481"/>
    <w:rsid w:val="00C84EBF"/>
    <w:rsid w:val="00C85105"/>
    <w:rsid w:val="00C8520F"/>
    <w:rsid w:val="00C852FE"/>
    <w:rsid w:val="00C85917"/>
    <w:rsid w:val="00C85C82"/>
    <w:rsid w:val="00C86566"/>
    <w:rsid w:val="00C86C07"/>
    <w:rsid w:val="00C873A7"/>
    <w:rsid w:val="00C901CB"/>
    <w:rsid w:val="00C90435"/>
    <w:rsid w:val="00C91150"/>
    <w:rsid w:val="00C91804"/>
    <w:rsid w:val="00C926F0"/>
    <w:rsid w:val="00C92825"/>
    <w:rsid w:val="00C92948"/>
    <w:rsid w:val="00C93BF0"/>
    <w:rsid w:val="00C9428A"/>
    <w:rsid w:val="00C94310"/>
    <w:rsid w:val="00C943F1"/>
    <w:rsid w:val="00C9441D"/>
    <w:rsid w:val="00C945C9"/>
    <w:rsid w:val="00C9618A"/>
    <w:rsid w:val="00C96347"/>
    <w:rsid w:val="00C9642C"/>
    <w:rsid w:val="00C966A9"/>
    <w:rsid w:val="00C9727D"/>
    <w:rsid w:val="00C97413"/>
    <w:rsid w:val="00C976EB"/>
    <w:rsid w:val="00C9777B"/>
    <w:rsid w:val="00C97856"/>
    <w:rsid w:val="00C97E51"/>
    <w:rsid w:val="00CA0312"/>
    <w:rsid w:val="00CA0BB3"/>
    <w:rsid w:val="00CA0E0D"/>
    <w:rsid w:val="00CA1622"/>
    <w:rsid w:val="00CA1B55"/>
    <w:rsid w:val="00CA1DFB"/>
    <w:rsid w:val="00CA2207"/>
    <w:rsid w:val="00CA2722"/>
    <w:rsid w:val="00CA2A27"/>
    <w:rsid w:val="00CA2B82"/>
    <w:rsid w:val="00CA2E9D"/>
    <w:rsid w:val="00CA30F4"/>
    <w:rsid w:val="00CA388E"/>
    <w:rsid w:val="00CA3B80"/>
    <w:rsid w:val="00CA44C1"/>
    <w:rsid w:val="00CA579B"/>
    <w:rsid w:val="00CA5C7F"/>
    <w:rsid w:val="00CA6053"/>
    <w:rsid w:val="00CA6083"/>
    <w:rsid w:val="00CA6455"/>
    <w:rsid w:val="00CA64B1"/>
    <w:rsid w:val="00CA655D"/>
    <w:rsid w:val="00CA6588"/>
    <w:rsid w:val="00CA69E3"/>
    <w:rsid w:val="00CA6A33"/>
    <w:rsid w:val="00CA7132"/>
    <w:rsid w:val="00CA7B72"/>
    <w:rsid w:val="00CA7E6B"/>
    <w:rsid w:val="00CB00F3"/>
    <w:rsid w:val="00CB072B"/>
    <w:rsid w:val="00CB0887"/>
    <w:rsid w:val="00CB142F"/>
    <w:rsid w:val="00CB177E"/>
    <w:rsid w:val="00CB17EA"/>
    <w:rsid w:val="00CB1B79"/>
    <w:rsid w:val="00CB1DD0"/>
    <w:rsid w:val="00CB1F9F"/>
    <w:rsid w:val="00CB1FF7"/>
    <w:rsid w:val="00CB219E"/>
    <w:rsid w:val="00CB2638"/>
    <w:rsid w:val="00CB2F8E"/>
    <w:rsid w:val="00CB346C"/>
    <w:rsid w:val="00CB377E"/>
    <w:rsid w:val="00CB3780"/>
    <w:rsid w:val="00CB4A51"/>
    <w:rsid w:val="00CB4B8E"/>
    <w:rsid w:val="00CB4DAF"/>
    <w:rsid w:val="00CB5A6D"/>
    <w:rsid w:val="00CB5C6D"/>
    <w:rsid w:val="00CB5D48"/>
    <w:rsid w:val="00CB66FA"/>
    <w:rsid w:val="00CC0887"/>
    <w:rsid w:val="00CC0F51"/>
    <w:rsid w:val="00CC135A"/>
    <w:rsid w:val="00CC1954"/>
    <w:rsid w:val="00CC1B35"/>
    <w:rsid w:val="00CC20A9"/>
    <w:rsid w:val="00CC2987"/>
    <w:rsid w:val="00CC2D93"/>
    <w:rsid w:val="00CC2EF8"/>
    <w:rsid w:val="00CC30D3"/>
    <w:rsid w:val="00CC3628"/>
    <w:rsid w:val="00CC377B"/>
    <w:rsid w:val="00CC39DD"/>
    <w:rsid w:val="00CC3B93"/>
    <w:rsid w:val="00CC3C3C"/>
    <w:rsid w:val="00CC4382"/>
    <w:rsid w:val="00CC453E"/>
    <w:rsid w:val="00CC4658"/>
    <w:rsid w:val="00CC4791"/>
    <w:rsid w:val="00CC49DB"/>
    <w:rsid w:val="00CC4CD9"/>
    <w:rsid w:val="00CC53C3"/>
    <w:rsid w:val="00CC6172"/>
    <w:rsid w:val="00CC62D1"/>
    <w:rsid w:val="00CC653F"/>
    <w:rsid w:val="00CC6F2D"/>
    <w:rsid w:val="00CC6F3D"/>
    <w:rsid w:val="00CC73EB"/>
    <w:rsid w:val="00CC7B33"/>
    <w:rsid w:val="00CC7C2A"/>
    <w:rsid w:val="00CD0175"/>
    <w:rsid w:val="00CD0450"/>
    <w:rsid w:val="00CD0770"/>
    <w:rsid w:val="00CD092C"/>
    <w:rsid w:val="00CD0AEE"/>
    <w:rsid w:val="00CD0F0B"/>
    <w:rsid w:val="00CD12EA"/>
    <w:rsid w:val="00CD1973"/>
    <w:rsid w:val="00CD19CF"/>
    <w:rsid w:val="00CD1E90"/>
    <w:rsid w:val="00CD23F7"/>
    <w:rsid w:val="00CD2CF3"/>
    <w:rsid w:val="00CD2D2C"/>
    <w:rsid w:val="00CD2F2F"/>
    <w:rsid w:val="00CD34BC"/>
    <w:rsid w:val="00CD3F72"/>
    <w:rsid w:val="00CD404A"/>
    <w:rsid w:val="00CD44AC"/>
    <w:rsid w:val="00CD4661"/>
    <w:rsid w:val="00CD5032"/>
    <w:rsid w:val="00CD5473"/>
    <w:rsid w:val="00CD55B1"/>
    <w:rsid w:val="00CD5F04"/>
    <w:rsid w:val="00CD5F32"/>
    <w:rsid w:val="00CD6475"/>
    <w:rsid w:val="00CD716F"/>
    <w:rsid w:val="00CE049A"/>
    <w:rsid w:val="00CE0630"/>
    <w:rsid w:val="00CE121B"/>
    <w:rsid w:val="00CE1C8C"/>
    <w:rsid w:val="00CE21B0"/>
    <w:rsid w:val="00CE248F"/>
    <w:rsid w:val="00CE2A24"/>
    <w:rsid w:val="00CE2ABA"/>
    <w:rsid w:val="00CE2BEA"/>
    <w:rsid w:val="00CE2DE6"/>
    <w:rsid w:val="00CE4291"/>
    <w:rsid w:val="00CE47EA"/>
    <w:rsid w:val="00CE4ABE"/>
    <w:rsid w:val="00CE5108"/>
    <w:rsid w:val="00CE513F"/>
    <w:rsid w:val="00CE5286"/>
    <w:rsid w:val="00CE560B"/>
    <w:rsid w:val="00CE6E5D"/>
    <w:rsid w:val="00CE6EDB"/>
    <w:rsid w:val="00CE6F09"/>
    <w:rsid w:val="00CE747B"/>
    <w:rsid w:val="00CE780A"/>
    <w:rsid w:val="00CE7B69"/>
    <w:rsid w:val="00CE7DE2"/>
    <w:rsid w:val="00CF0356"/>
    <w:rsid w:val="00CF162A"/>
    <w:rsid w:val="00CF19A1"/>
    <w:rsid w:val="00CF1BFE"/>
    <w:rsid w:val="00CF2B96"/>
    <w:rsid w:val="00CF2D42"/>
    <w:rsid w:val="00CF3195"/>
    <w:rsid w:val="00CF3501"/>
    <w:rsid w:val="00CF3996"/>
    <w:rsid w:val="00CF3C03"/>
    <w:rsid w:val="00CF3E24"/>
    <w:rsid w:val="00CF4409"/>
    <w:rsid w:val="00CF45B5"/>
    <w:rsid w:val="00CF4797"/>
    <w:rsid w:val="00CF4815"/>
    <w:rsid w:val="00CF524C"/>
    <w:rsid w:val="00CF56B0"/>
    <w:rsid w:val="00CF64A0"/>
    <w:rsid w:val="00CF6BDD"/>
    <w:rsid w:val="00CF6FBB"/>
    <w:rsid w:val="00CF7027"/>
    <w:rsid w:val="00CF7B06"/>
    <w:rsid w:val="00CF7BE1"/>
    <w:rsid w:val="00D009B3"/>
    <w:rsid w:val="00D0125C"/>
    <w:rsid w:val="00D0172A"/>
    <w:rsid w:val="00D01957"/>
    <w:rsid w:val="00D01E33"/>
    <w:rsid w:val="00D026AC"/>
    <w:rsid w:val="00D02E7A"/>
    <w:rsid w:val="00D02FB3"/>
    <w:rsid w:val="00D03459"/>
    <w:rsid w:val="00D03900"/>
    <w:rsid w:val="00D03C3A"/>
    <w:rsid w:val="00D04638"/>
    <w:rsid w:val="00D04679"/>
    <w:rsid w:val="00D04ABA"/>
    <w:rsid w:val="00D056F3"/>
    <w:rsid w:val="00D05F52"/>
    <w:rsid w:val="00D05FF0"/>
    <w:rsid w:val="00D06650"/>
    <w:rsid w:val="00D0687D"/>
    <w:rsid w:val="00D068FF"/>
    <w:rsid w:val="00D07DE2"/>
    <w:rsid w:val="00D07F15"/>
    <w:rsid w:val="00D1045E"/>
    <w:rsid w:val="00D107AE"/>
    <w:rsid w:val="00D10B37"/>
    <w:rsid w:val="00D115C3"/>
    <w:rsid w:val="00D11BCB"/>
    <w:rsid w:val="00D11E56"/>
    <w:rsid w:val="00D12D78"/>
    <w:rsid w:val="00D13093"/>
    <w:rsid w:val="00D13B86"/>
    <w:rsid w:val="00D13DA9"/>
    <w:rsid w:val="00D143CC"/>
    <w:rsid w:val="00D1448C"/>
    <w:rsid w:val="00D145E3"/>
    <w:rsid w:val="00D14687"/>
    <w:rsid w:val="00D1594F"/>
    <w:rsid w:val="00D15BF6"/>
    <w:rsid w:val="00D1643B"/>
    <w:rsid w:val="00D1663E"/>
    <w:rsid w:val="00D16654"/>
    <w:rsid w:val="00D16EC5"/>
    <w:rsid w:val="00D17539"/>
    <w:rsid w:val="00D175A6"/>
    <w:rsid w:val="00D20246"/>
    <w:rsid w:val="00D202F3"/>
    <w:rsid w:val="00D20AC4"/>
    <w:rsid w:val="00D20C0B"/>
    <w:rsid w:val="00D20C82"/>
    <w:rsid w:val="00D21405"/>
    <w:rsid w:val="00D217F9"/>
    <w:rsid w:val="00D21B80"/>
    <w:rsid w:val="00D21DB2"/>
    <w:rsid w:val="00D22290"/>
    <w:rsid w:val="00D22668"/>
    <w:rsid w:val="00D229E9"/>
    <w:rsid w:val="00D22A53"/>
    <w:rsid w:val="00D232A6"/>
    <w:rsid w:val="00D23350"/>
    <w:rsid w:val="00D23792"/>
    <w:rsid w:val="00D23EE1"/>
    <w:rsid w:val="00D244C4"/>
    <w:rsid w:val="00D24545"/>
    <w:rsid w:val="00D24759"/>
    <w:rsid w:val="00D24FA7"/>
    <w:rsid w:val="00D2504A"/>
    <w:rsid w:val="00D256D2"/>
    <w:rsid w:val="00D25713"/>
    <w:rsid w:val="00D258DA"/>
    <w:rsid w:val="00D25A88"/>
    <w:rsid w:val="00D25ECD"/>
    <w:rsid w:val="00D26751"/>
    <w:rsid w:val="00D26757"/>
    <w:rsid w:val="00D26878"/>
    <w:rsid w:val="00D27275"/>
    <w:rsid w:val="00D27509"/>
    <w:rsid w:val="00D27D0C"/>
    <w:rsid w:val="00D3026E"/>
    <w:rsid w:val="00D30288"/>
    <w:rsid w:val="00D306EC"/>
    <w:rsid w:val="00D30939"/>
    <w:rsid w:val="00D310D5"/>
    <w:rsid w:val="00D31268"/>
    <w:rsid w:val="00D313C0"/>
    <w:rsid w:val="00D316B7"/>
    <w:rsid w:val="00D31FF6"/>
    <w:rsid w:val="00D32793"/>
    <w:rsid w:val="00D33573"/>
    <w:rsid w:val="00D3395D"/>
    <w:rsid w:val="00D33CEE"/>
    <w:rsid w:val="00D341C5"/>
    <w:rsid w:val="00D349E8"/>
    <w:rsid w:val="00D35AD0"/>
    <w:rsid w:val="00D35DCD"/>
    <w:rsid w:val="00D364F3"/>
    <w:rsid w:val="00D366BC"/>
    <w:rsid w:val="00D3680D"/>
    <w:rsid w:val="00D36896"/>
    <w:rsid w:val="00D36EEB"/>
    <w:rsid w:val="00D3765B"/>
    <w:rsid w:val="00D37ABB"/>
    <w:rsid w:val="00D37C0A"/>
    <w:rsid w:val="00D37F97"/>
    <w:rsid w:val="00D402E3"/>
    <w:rsid w:val="00D403B4"/>
    <w:rsid w:val="00D411EC"/>
    <w:rsid w:val="00D4182A"/>
    <w:rsid w:val="00D423D5"/>
    <w:rsid w:val="00D42604"/>
    <w:rsid w:val="00D42764"/>
    <w:rsid w:val="00D42910"/>
    <w:rsid w:val="00D42A60"/>
    <w:rsid w:val="00D42D28"/>
    <w:rsid w:val="00D430D8"/>
    <w:rsid w:val="00D43B41"/>
    <w:rsid w:val="00D43BA9"/>
    <w:rsid w:val="00D44593"/>
    <w:rsid w:val="00D44F06"/>
    <w:rsid w:val="00D459B7"/>
    <w:rsid w:val="00D462AD"/>
    <w:rsid w:val="00D4650E"/>
    <w:rsid w:val="00D46DFB"/>
    <w:rsid w:val="00D46F26"/>
    <w:rsid w:val="00D4707D"/>
    <w:rsid w:val="00D47506"/>
    <w:rsid w:val="00D47B49"/>
    <w:rsid w:val="00D47C73"/>
    <w:rsid w:val="00D47E83"/>
    <w:rsid w:val="00D47F4A"/>
    <w:rsid w:val="00D503F4"/>
    <w:rsid w:val="00D50C6B"/>
    <w:rsid w:val="00D50C99"/>
    <w:rsid w:val="00D50CB6"/>
    <w:rsid w:val="00D51135"/>
    <w:rsid w:val="00D5147F"/>
    <w:rsid w:val="00D51D35"/>
    <w:rsid w:val="00D52214"/>
    <w:rsid w:val="00D52496"/>
    <w:rsid w:val="00D526C7"/>
    <w:rsid w:val="00D52745"/>
    <w:rsid w:val="00D52F31"/>
    <w:rsid w:val="00D532C4"/>
    <w:rsid w:val="00D53E0F"/>
    <w:rsid w:val="00D54114"/>
    <w:rsid w:val="00D541A0"/>
    <w:rsid w:val="00D54289"/>
    <w:rsid w:val="00D54880"/>
    <w:rsid w:val="00D54C2F"/>
    <w:rsid w:val="00D551A6"/>
    <w:rsid w:val="00D561F9"/>
    <w:rsid w:val="00D563F3"/>
    <w:rsid w:val="00D5690B"/>
    <w:rsid w:val="00D56B91"/>
    <w:rsid w:val="00D575CA"/>
    <w:rsid w:val="00D57ECB"/>
    <w:rsid w:val="00D57EE8"/>
    <w:rsid w:val="00D60127"/>
    <w:rsid w:val="00D60849"/>
    <w:rsid w:val="00D61A8B"/>
    <w:rsid w:val="00D61B27"/>
    <w:rsid w:val="00D61BA2"/>
    <w:rsid w:val="00D61BAD"/>
    <w:rsid w:val="00D61BC0"/>
    <w:rsid w:val="00D625E7"/>
    <w:rsid w:val="00D62995"/>
    <w:rsid w:val="00D62CD8"/>
    <w:rsid w:val="00D62F41"/>
    <w:rsid w:val="00D63085"/>
    <w:rsid w:val="00D633ED"/>
    <w:rsid w:val="00D6370F"/>
    <w:rsid w:val="00D6384E"/>
    <w:rsid w:val="00D63BED"/>
    <w:rsid w:val="00D63D92"/>
    <w:rsid w:val="00D648D3"/>
    <w:rsid w:val="00D64907"/>
    <w:rsid w:val="00D64CE0"/>
    <w:rsid w:val="00D650C8"/>
    <w:rsid w:val="00D659A4"/>
    <w:rsid w:val="00D662CE"/>
    <w:rsid w:val="00D66480"/>
    <w:rsid w:val="00D665BC"/>
    <w:rsid w:val="00D66705"/>
    <w:rsid w:val="00D66862"/>
    <w:rsid w:val="00D668B9"/>
    <w:rsid w:val="00D66900"/>
    <w:rsid w:val="00D66A45"/>
    <w:rsid w:val="00D66D9A"/>
    <w:rsid w:val="00D673E1"/>
    <w:rsid w:val="00D675F7"/>
    <w:rsid w:val="00D678A0"/>
    <w:rsid w:val="00D67BD6"/>
    <w:rsid w:val="00D7110D"/>
    <w:rsid w:val="00D717E6"/>
    <w:rsid w:val="00D7198D"/>
    <w:rsid w:val="00D71DC0"/>
    <w:rsid w:val="00D71E42"/>
    <w:rsid w:val="00D71FC0"/>
    <w:rsid w:val="00D72051"/>
    <w:rsid w:val="00D720C3"/>
    <w:rsid w:val="00D7249A"/>
    <w:rsid w:val="00D72502"/>
    <w:rsid w:val="00D739C2"/>
    <w:rsid w:val="00D73A45"/>
    <w:rsid w:val="00D73CFD"/>
    <w:rsid w:val="00D747C0"/>
    <w:rsid w:val="00D74816"/>
    <w:rsid w:val="00D74A16"/>
    <w:rsid w:val="00D75043"/>
    <w:rsid w:val="00D75ACF"/>
    <w:rsid w:val="00D75E6F"/>
    <w:rsid w:val="00D768BF"/>
    <w:rsid w:val="00D76A96"/>
    <w:rsid w:val="00D76E64"/>
    <w:rsid w:val="00D772CB"/>
    <w:rsid w:val="00D77B16"/>
    <w:rsid w:val="00D805CD"/>
    <w:rsid w:val="00D80876"/>
    <w:rsid w:val="00D81857"/>
    <w:rsid w:val="00D82554"/>
    <w:rsid w:val="00D825EE"/>
    <w:rsid w:val="00D827A2"/>
    <w:rsid w:val="00D82C37"/>
    <w:rsid w:val="00D83050"/>
    <w:rsid w:val="00D84074"/>
    <w:rsid w:val="00D84592"/>
    <w:rsid w:val="00D848A6"/>
    <w:rsid w:val="00D852D2"/>
    <w:rsid w:val="00D854CE"/>
    <w:rsid w:val="00D856AF"/>
    <w:rsid w:val="00D85B97"/>
    <w:rsid w:val="00D85BE8"/>
    <w:rsid w:val="00D8626B"/>
    <w:rsid w:val="00D8635F"/>
    <w:rsid w:val="00D86BD0"/>
    <w:rsid w:val="00D86D7B"/>
    <w:rsid w:val="00D86EB8"/>
    <w:rsid w:val="00D8716A"/>
    <w:rsid w:val="00D8746E"/>
    <w:rsid w:val="00D87499"/>
    <w:rsid w:val="00D87A41"/>
    <w:rsid w:val="00D87D3F"/>
    <w:rsid w:val="00D90068"/>
    <w:rsid w:val="00D9062E"/>
    <w:rsid w:val="00D908F2"/>
    <w:rsid w:val="00D90E05"/>
    <w:rsid w:val="00D91034"/>
    <w:rsid w:val="00D9145E"/>
    <w:rsid w:val="00D914BA"/>
    <w:rsid w:val="00D91855"/>
    <w:rsid w:val="00D918DA"/>
    <w:rsid w:val="00D91A16"/>
    <w:rsid w:val="00D91A2E"/>
    <w:rsid w:val="00D91C7A"/>
    <w:rsid w:val="00D923F1"/>
    <w:rsid w:val="00D9353B"/>
    <w:rsid w:val="00D93BB7"/>
    <w:rsid w:val="00D93BC2"/>
    <w:rsid w:val="00D93F5B"/>
    <w:rsid w:val="00D94C75"/>
    <w:rsid w:val="00D94F68"/>
    <w:rsid w:val="00D9523E"/>
    <w:rsid w:val="00D952BF"/>
    <w:rsid w:val="00D95494"/>
    <w:rsid w:val="00D954B8"/>
    <w:rsid w:val="00D956E9"/>
    <w:rsid w:val="00D957CB"/>
    <w:rsid w:val="00D95C5F"/>
    <w:rsid w:val="00D95DF1"/>
    <w:rsid w:val="00D9635D"/>
    <w:rsid w:val="00D96CFD"/>
    <w:rsid w:val="00D96E35"/>
    <w:rsid w:val="00D96EAB"/>
    <w:rsid w:val="00D97742"/>
    <w:rsid w:val="00D97955"/>
    <w:rsid w:val="00D97A93"/>
    <w:rsid w:val="00D97FBA"/>
    <w:rsid w:val="00DA0238"/>
    <w:rsid w:val="00DA0AB1"/>
    <w:rsid w:val="00DA1C79"/>
    <w:rsid w:val="00DA1C81"/>
    <w:rsid w:val="00DA1DB3"/>
    <w:rsid w:val="00DA24F7"/>
    <w:rsid w:val="00DA29CC"/>
    <w:rsid w:val="00DA2A60"/>
    <w:rsid w:val="00DA2C3C"/>
    <w:rsid w:val="00DA2F1B"/>
    <w:rsid w:val="00DA3068"/>
    <w:rsid w:val="00DA38CB"/>
    <w:rsid w:val="00DA3EAB"/>
    <w:rsid w:val="00DA41C9"/>
    <w:rsid w:val="00DA4873"/>
    <w:rsid w:val="00DA4A3D"/>
    <w:rsid w:val="00DA50F1"/>
    <w:rsid w:val="00DA54B3"/>
    <w:rsid w:val="00DA5631"/>
    <w:rsid w:val="00DA56E7"/>
    <w:rsid w:val="00DA584F"/>
    <w:rsid w:val="00DA58D9"/>
    <w:rsid w:val="00DA5C16"/>
    <w:rsid w:val="00DA5DC7"/>
    <w:rsid w:val="00DA6663"/>
    <w:rsid w:val="00DA686D"/>
    <w:rsid w:val="00DA6FD5"/>
    <w:rsid w:val="00DA7072"/>
    <w:rsid w:val="00DA7192"/>
    <w:rsid w:val="00DA7709"/>
    <w:rsid w:val="00DA7C5A"/>
    <w:rsid w:val="00DA7E8F"/>
    <w:rsid w:val="00DB0673"/>
    <w:rsid w:val="00DB09C6"/>
    <w:rsid w:val="00DB0D48"/>
    <w:rsid w:val="00DB16DD"/>
    <w:rsid w:val="00DB175F"/>
    <w:rsid w:val="00DB17CF"/>
    <w:rsid w:val="00DB1808"/>
    <w:rsid w:val="00DB2036"/>
    <w:rsid w:val="00DB20AF"/>
    <w:rsid w:val="00DB2714"/>
    <w:rsid w:val="00DB2861"/>
    <w:rsid w:val="00DB2F7E"/>
    <w:rsid w:val="00DB396A"/>
    <w:rsid w:val="00DB3A46"/>
    <w:rsid w:val="00DB3E1A"/>
    <w:rsid w:val="00DB4662"/>
    <w:rsid w:val="00DB46E1"/>
    <w:rsid w:val="00DB4896"/>
    <w:rsid w:val="00DB4A0E"/>
    <w:rsid w:val="00DB4CCF"/>
    <w:rsid w:val="00DB4D8E"/>
    <w:rsid w:val="00DB4FE9"/>
    <w:rsid w:val="00DB54C5"/>
    <w:rsid w:val="00DB5726"/>
    <w:rsid w:val="00DB599C"/>
    <w:rsid w:val="00DB6660"/>
    <w:rsid w:val="00DB6B66"/>
    <w:rsid w:val="00DB6B69"/>
    <w:rsid w:val="00DB6C23"/>
    <w:rsid w:val="00DB76DA"/>
    <w:rsid w:val="00DB77BA"/>
    <w:rsid w:val="00DB7BA2"/>
    <w:rsid w:val="00DB7E35"/>
    <w:rsid w:val="00DC0279"/>
    <w:rsid w:val="00DC05E9"/>
    <w:rsid w:val="00DC0622"/>
    <w:rsid w:val="00DC09B1"/>
    <w:rsid w:val="00DC0C6E"/>
    <w:rsid w:val="00DC0D4C"/>
    <w:rsid w:val="00DC0D9C"/>
    <w:rsid w:val="00DC108F"/>
    <w:rsid w:val="00DC14AB"/>
    <w:rsid w:val="00DC16D5"/>
    <w:rsid w:val="00DC1B03"/>
    <w:rsid w:val="00DC2493"/>
    <w:rsid w:val="00DC24D5"/>
    <w:rsid w:val="00DC279B"/>
    <w:rsid w:val="00DC3706"/>
    <w:rsid w:val="00DC3EC2"/>
    <w:rsid w:val="00DC4060"/>
    <w:rsid w:val="00DC464E"/>
    <w:rsid w:val="00DC50A7"/>
    <w:rsid w:val="00DC5110"/>
    <w:rsid w:val="00DC52D8"/>
    <w:rsid w:val="00DC55E4"/>
    <w:rsid w:val="00DC5F5C"/>
    <w:rsid w:val="00DC601C"/>
    <w:rsid w:val="00DC634F"/>
    <w:rsid w:val="00DC6FC3"/>
    <w:rsid w:val="00DC7668"/>
    <w:rsid w:val="00DC7E08"/>
    <w:rsid w:val="00DC7E2A"/>
    <w:rsid w:val="00DD0F3A"/>
    <w:rsid w:val="00DD1414"/>
    <w:rsid w:val="00DD249D"/>
    <w:rsid w:val="00DD3194"/>
    <w:rsid w:val="00DD3873"/>
    <w:rsid w:val="00DD3D26"/>
    <w:rsid w:val="00DD44C7"/>
    <w:rsid w:val="00DD47FF"/>
    <w:rsid w:val="00DD69EE"/>
    <w:rsid w:val="00DD7A57"/>
    <w:rsid w:val="00DE003E"/>
    <w:rsid w:val="00DE0138"/>
    <w:rsid w:val="00DE0441"/>
    <w:rsid w:val="00DE06F3"/>
    <w:rsid w:val="00DE0844"/>
    <w:rsid w:val="00DE09A8"/>
    <w:rsid w:val="00DE1534"/>
    <w:rsid w:val="00DE2941"/>
    <w:rsid w:val="00DE2B0E"/>
    <w:rsid w:val="00DE2C54"/>
    <w:rsid w:val="00DE2FE2"/>
    <w:rsid w:val="00DE340C"/>
    <w:rsid w:val="00DE38B5"/>
    <w:rsid w:val="00DE3B74"/>
    <w:rsid w:val="00DE433C"/>
    <w:rsid w:val="00DE4B5F"/>
    <w:rsid w:val="00DE4D45"/>
    <w:rsid w:val="00DE4E23"/>
    <w:rsid w:val="00DE541F"/>
    <w:rsid w:val="00DE587F"/>
    <w:rsid w:val="00DE58DD"/>
    <w:rsid w:val="00DE617D"/>
    <w:rsid w:val="00DE6C78"/>
    <w:rsid w:val="00DE6CE0"/>
    <w:rsid w:val="00DE6FAD"/>
    <w:rsid w:val="00DE745B"/>
    <w:rsid w:val="00DE7F3B"/>
    <w:rsid w:val="00DF02EA"/>
    <w:rsid w:val="00DF0530"/>
    <w:rsid w:val="00DF0DFE"/>
    <w:rsid w:val="00DF0F2A"/>
    <w:rsid w:val="00DF1032"/>
    <w:rsid w:val="00DF155B"/>
    <w:rsid w:val="00DF15D5"/>
    <w:rsid w:val="00DF1FFE"/>
    <w:rsid w:val="00DF2297"/>
    <w:rsid w:val="00DF2791"/>
    <w:rsid w:val="00DF2903"/>
    <w:rsid w:val="00DF2B88"/>
    <w:rsid w:val="00DF2D41"/>
    <w:rsid w:val="00DF3459"/>
    <w:rsid w:val="00DF34DB"/>
    <w:rsid w:val="00DF3AC2"/>
    <w:rsid w:val="00DF45A8"/>
    <w:rsid w:val="00DF47EB"/>
    <w:rsid w:val="00DF48FF"/>
    <w:rsid w:val="00DF4967"/>
    <w:rsid w:val="00DF519D"/>
    <w:rsid w:val="00DF540C"/>
    <w:rsid w:val="00DF5D82"/>
    <w:rsid w:val="00DF6305"/>
    <w:rsid w:val="00DF6B9A"/>
    <w:rsid w:val="00DF7191"/>
    <w:rsid w:val="00DF7A58"/>
    <w:rsid w:val="00DFBEF0"/>
    <w:rsid w:val="00E00334"/>
    <w:rsid w:val="00E004F1"/>
    <w:rsid w:val="00E005F3"/>
    <w:rsid w:val="00E00C23"/>
    <w:rsid w:val="00E01AAE"/>
    <w:rsid w:val="00E02719"/>
    <w:rsid w:val="00E02C46"/>
    <w:rsid w:val="00E03799"/>
    <w:rsid w:val="00E039CF"/>
    <w:rsid w:val="00E04046"/>
    <w:rsid w:val="00E04745"/>
    <w:rsid w:val="00E04FA6"/>
    <w:rsid w:val="00E054D5"/>
    <w:rsid w:val="00E05A39"/>
    <w:rsid w:val="00E0623C"/>
    <w:rsid w:val="00E06B95"/>
    <w:rsid w:val="00E06F97"/>
    <w:rsid w:val="00E0713B"/>
    <w:rsid w:val="00E07423"/>
    <w:rsid w:val="00E07AF0"/>
    <w:rsid w:val="00E104FD"/>
    <w:rsid w:val="00E10CD4"/>
    <w:rsid w:val="00E1154F"/>
    <w:rsid w:val="00E115D6"/>
    <w:rsid w:val="00E116ED"/>
    <w:rsid w:val="00E1207B"/>
    <w:rsid w:val="00E123CB"/>
    <w:rsid w:val="00E13285"/>
    <w:rsid w:val="00E13927"/>
    <w:rsid w:val="00E13ABB"/>
    <w:rsid w:val="00E13CDD"/>
    <w:rsid w:val="00E13ED7"/>
    <w:rsid w:val="00E14A3C"/>
    <w:rsid w:val="00E14A5D"/>
    <w:rsid w:val="00E1594E"/>
    <w:rsid w:val="00E16484"/>
    <w:rsid w:val="00E164C6"/>
    <w:rsid w:val="00E169DF"/>
    <w:rsid w:val="00E16B3E"/>
    <w:rsid w:val="00E16B72"/>
    <w:rsid w:val="00E172AD"/>
    <w:rsid w:val="00E17331"/>
    <w:rsid w:val="00E175F0"/>
    <w:rsid w:val="00E177B1"/>
    <w:rsid w:val="00E20092"/>
    <w:rsid w:val="00E208A7"/>
    <w:rsid w:val="00E20DEA"/>
    <w:rsid w:val="00E21061"/>
    <w:rsid w:val="00E2189C"/>
    <w:rsid w:val="00E21D63"/>
    <w:rsid w:val="00E21DF2"/>
    <w:rsid w:val="00E21EF8"/>
    <w:rsid w:val="00E21F6B"/>
    <w:rsid w:val="00E21F84"/>
    <w:rsid w:val="00E2220B"/>
    <w:rsid w:val="00E22413"/>
    <w:rsid w:val="00E2242C"/>
    <w:rsid w:val="00E2334E"/>
    <w:rsid w:val="00E234BC"/>
    <w:rsid w:val="00E237F1"/>
    <w:rsid w:val="00E23896"/>
    <w:rsid w:val="00E23C67"/>
    <w:rsid w:val="00E2451A"/>
    <w:rsid w:val="00E24DA6"/>
    <w:rsid w:val="00E2503C"/>
    <w:rsid w:val="00E25988"/>
    <w:rsid w:val="00E25C47"/>
    <w:rsid w:val="00E25EB1"/>
    <w:rsid w:val="00E2651C"/>
    <w:rsid w:val="00E26668"/>
    <w:rsid w:val="00E26D80"/>
    <w:rsid w:val="00E26E2A"/>
    <w:rsid w:val="00E272E9"/>
    <w:rsid w:val="00E273AB"/>
    <w:rsid w:val="00E27567"/>
    <w:rsid w:val="00E276B7"/>
    <w:rsid w:val="00E277C8"/>
    <w:rsid w:val="00E279B9"/>
    <w:rsid w:val="00E27C2F"/>
    <w:rsid w:val="00E27DAA"/>
    <w:rsid w:val="00E30557"/>
    <w:rsid w:val="00E30AFB"/>
    <w:rsid w:val="00E30BFF"/>
    <w:rsid w:val="00E30CD6"/>
    <w:rsid w:val="00E314D4"/>
    <w:rsid w:val="00E3162F"/>
    <w:rsid w:val="00E316B4"/>
    <w:rsid w:val="00E319B9"/>
    <w:rsid w:val="00E333AC"/>
    <w:rsid w:val="00E333FE"/>
    <w:rsid w:val="00E33ADE"/>
    <w:rsid w:val="00E33B65"/>
    <w:rsid w:val="00E342ED"/>
    <w:rsid w:val="00E34406"/>
    <w:rsid w:val="00E346DF"/>
    <w:rsid w:val="00E34E3F"/>
    <w:rsid w:val="00E35354"/>
    <w:rsid w:val="00E3567D"/>
    <w:rsid w:val="00E35C5F"/>
    <w:rsid w:val="00E362A6"/>
    <w:rsid w:val="00E36563"/>
    <w:rsid w:val="00E365F8"/>
    <w:rsid w:val="00E36F9C"/>
    <w:rsid w:val="00E3736B"/>
    <w:rsid w:val="00E37A54"/>
    <w:rsid w:val="00E37D13"/>
    <w:rsid w:val="00E37E20"/>
    <w:rsid w:val="00E403AF"/>
    <w:rsid w:val="00E40501"/>
    <w:rsid w:val="00E409F2"/>
    <w:rsid w:val="00E40A6A"/>
    <w:rsid w:val="00E40DF8"/>
    <w:rsid w:val="00E41821"/>
    <w:rsid w:val="00E41A3A"/>
    <w:rsid w:val="00E41DB5"/>
    <w:rsid w:val="00E41EF7"/>
    <w:rsid w:val="00E435CA"/>
    <w:rsid w:val="00E43A1A"/>
    <w:rsid w:val="00E43B32"/>
    <w:rsid w:val="00E43F38"/>
    <w:rsid w:val="00E44383"/>
    <w:rsid w:val="00E4462C"/>
    <w:rsid w:val="00E44A23"/>
    <w:rsid w:val="00E44C0F"/>
    <w:rsid w:val="00E45672"/>
    <w:rsid w:val="00E458B4"/>
    <w:rsid w:val="00E45985"/>
    <w:rsid w:val="00E45AB2"/>
    <w:rsid w:val="00E4621D"/>
    <w:rsid w:val="00E462BE"/>
    <w:rsid w:val="00E46338"/>
    <w:rsid w:val="00E463EE"/>
    <w:rsid w:val="00E469C3"/>
    <w:rsid w:val="00E46EF2"/>
    <w:rsid w:val="00E4710C"/>
    <w:rsid w:val="00E472B4"/>
    <w:rsid w:val="00E47446"/>
    <w:rsid w:val="00E4747F"/>
    <w:rsid w:val="00E500EA"/>
    <w:rsid w:val="00E50170"/>
    <w:rsid w:val="00E50689"/>
    <w:rsid w:val="00E50BAB"/>
    <w:rsid w:val="00E50CCA"/>
    <w:rsid w:val="00E50D1C"/>
    <w:rsid w:val="00E50E06"/>
    <w:rsid w:val="00E50FBE"/>
    <w:rsid w:val="00E51445"/>
    <w:rsid w:val="00E517AD"/>
    <w:rsid w:val="00E5190F"/>
    <w:rsid w:val="00E52040"/>
    <w:rsid w:val="00E52313"/>
    <w:rsid w:val="00E5264A"/>
    <w:rsid w:val="00E52C98"/>
    <w:rsid w:val="00E538E9"/>
    <w:rsid w:val="00E53B8E"/>
    <w:rsid w:val="00E5408E"/>
    <w:rsid w:val="00E55794"/>
    <w:rsid w:val="00E55837"/>
    <w:rsid w:val="00E55D30"/>
    <w:rsid w:val="00E55E0F"/>
    <w:rsid w:val="00E568FF"/>
    <w:rsid w:val="00E56BA8"/>
    <w:rsid w:val="00E56EC1"/>
    <w:rsid w:val="00E57675"/>
    <w:rsid w:val="00E57D7C"/>
    <w:rsid w:val="00E60E01"/>
    <w:rsid w:val="00E61365"/>
    <w:rsid w:val="00E619FF"/>
    <w:rsid w:val="00E61FAD"/>
    <w:rsid w:val="00E6213D"/>
    <w:rsid w:val="00E6294E"/>
    <w:rsid w:val="00E62B56"/>
    <w:rsid w:val="00E62E4C"/>
    <w:rsid w:val="00E63131"/>
    <w:rsid w:val="00E63792"/>
    <w:rsid w:val="00E63DC4"/>
    <w:rsid w:val="00E63EDA"/>
    <w:rsid w:val="00E63F5E"/>
    <w:rsid w:val="00E63FF0"/>
    <w:rsid w:val="00E640E6"/>
    <w:rsid w:val="00E65013"/>
    <w:rsid w:val="00E65AE9"/>
    <w:rsid w:val="00E6642A"/>
    <w:rsid w:val="00E66494"/>
    <w:rsid w:val="00E666C9"/>
    <w:rsid w:val="00E667E1"/>
    <w:rsid w:val="00E6720E"/>
    <w:rsid w:val="00E67B16"/>
    <w:rsid w:val="00E67F78"/>
    <w:rsid w:val="00E70019"/>
    <w:rsid w:val="00E708FD"/>
    <w:rsid w:val="00E7090F"/>
    <w:rsid w:val="00E70AB4"/>
    <w:rsid w:val="00E70D50"/>
    <w:rsid w:val="00E7107F"/>
    <w:rsid w:val="00E718C7"/>
    <w:rsid w:val="00E71981"/>
    <w:rsid w:val="00E71F72"/>
    <w:rsid w:val="00E720D8"/>
    <w:rsid w:val="00E72184"/>
    <w:rsid w:val="00E72B9D"/>
    <w:rsid w:val="00E72F1F"/>
    <w:rsid w:val="00E72F6C"/>
    <w:rsid w:val="00E7339B"/>
    <w:rsid w:val="00E733B7"/>
    <w:rsid w:val="00E7412B"/>
    <w:rsid w:val="00E754E5"/>
    <w:rsid w:val="00E75DD3"/>
    <w:rsid w:val="00E7632B"/>
    <w:rsid w:val="00E76EB5"/>
    <w:rsid w:val="00E77296"/>
    <w:rsid w:val="00E77761"/>
    <w:rsid w:val="00E77764"/>
    <w:rsid w:val="00E777E8"/>
    <w:rsid w:val="00E77851"/>
    <w:rsid w:val="00E811C3"/>
    <w:rsid w:val="00E8148F"/>
    <w:rsid w:val="00E81A91"/>
    <w:rsid w:val="00E81ED3"/>
    <w:rsid w:val="00E8203A"/>
    <w:rsid w:val="00E8282E"/>
    <w:rsid w:val="00E828E3"/>
    <w:rsid w:val="00E82967"/>
    <w:rsid w:val="00E82C56"/>
    <w:rsid w:val="00E83207"/>
    <w:rsid w:val="00E835BD"/>
    <w:rsid w:val="00E8364B"/>
    <w:rsid w:val="00E83F1A"/>
    <w:rsid w:val="00E83FED"/>
    <w:rsid w:val="00E84444"/>
    <w:rsid w:val="00E84453"/>
    <w:rsid w:val="00E8582C"/>
    <w:rsid w:val="00E85EFE"/>
    <w:rsid w:val="00E86036"/>
    <w:rsid w:val="00E86375"/>
    <w:rsid w:val="00E86831"/>
    <w:rsid w:val="00E86A92"/>
    <w:rsid w:val="00E86B7C"/>
    <w:rsid w:val="00E86D86"/>
    <w:rsid w:val="00E87FFB"/>
    <w:rsid w:val="00E906C7"/>
    <w:rsid w:val="00E90751"/>
    <w:rsid w:val="00E908CF"/>
    <w:rsid w:val="00E9094F"/>
    <w:rsid w:val="00E90AD8"/>
    <w:rsid w:val="00E90B87"/>
    <w:rsid w:val="00E912E8"/>
    <w:rsid w:val="00E92157"/>
    <w:rsid w:val="00E923CD"/>
    <w:rsid w:val="00E92620"/>
    <w:rsid w:val="00E9290B"/>
    <w:rsid w:val="00E9293A"/>
    <w:rsid w:val="00E934BD"/>
    <w:rsid w:val="00E937CE"/>
    <w:rsid w:val="00E93A18"/>
    <w:rsid w:val="00E93C4E"/>
    <w:rsid w:val="00E9418D"/>
    <w:rsid w:val="00E942C2"/>
    <w:rsid w:val="00E9505A"/>
    <w:rsid w:val="00E95784"/>
    <w:rsid w:val="00E95948"/>
    <w:rsid w:val="00E96009"/>
    <w:rsid w:val="00E9650E"/>
    <w:rsid w:val="00E96935"/>
    <w:rsid w:val="00E96BF0"/>
    <w:rsid w:val="00E97D53"/>
    <w:rsid w:val="00E97FD2"/>
    <w:rsid w:val="00EA026E"/>
    <w:rsid w:val="00EA0618"/>
    <w:rsid w:val="00EA09E3"/>
    <w:rsid w:val="00EA2167"/>
    <w:rsid w:val="00EA2ED8"/>
    <w:rsid w:val="00EA3715"/>
    <w:rsid w:val="00EA3AAA"/>
    <w:rsid w:val="00EA4057"/>
    <w:rsid w:val="00EA41B4"/>
    <w:rsid w:val="00EA446E"/>
    <w:rsid w:val="00EA4592"/>
    <w:rsid w:val="00EA4784"/>
    <w:rsid w:val="00EA4922"/>
    <w:rsid w:val="00EA4E56"/>
    <w:rsid w:val="00EA50AE"/>
    <w:rsid w:val="00EA54DF"/>
    <w:rsid w:val="00EA6585"/>
    <w:rsid w:val="00EA67F2"/>
    <w:rsid w:val="00EA6BFC"/>
    <w:rsid w:val="00EA6DB6"/>
    <w:rsid w:val="00EA74F1"/>
    <w:rsid w:val="00EA77D3"/>
    <w:rsid w:val="00EA7BE3"/>
    <w:rsid w:val="00EA7C38"/>
    <w:rsid w:val="00EB04A6"/>
    <w:rsid w:val="00EB051A"/>
    <w:rsid w:val="00EB0AD7"/>
    <w:rsid w:val="00EB1143"/>
    <w:rsid w:val="00EB1BAC"/>
    <w:rsid w:val="00EB289D"/>
    <w:rsid w:val="00EB2960"/>
    <w:rsid w:val="00EB2FA1"/>
    <w:rsid w:val="00EB3190"/>
    <w:rsid w:val="00EB35CC"/>
    <w:rsid w:val="00EB3C88"/>
    <w:rsid w:val="00EB3DDA"/>
    <w:rsid w:val="00EB3F25"/>
    <w:rsid w:val="00EB4151"/>
    <w:rsid w:val="00EB4213"/>
    <w:rsid w:val="00EB43C1"/>
    <w:rsid w:val="00EB454C"/>
    <w:rsid w:val="00EB4D8A"/>
    <w:rsid w:val="00EB4E96"/>
    <w:rsid w:val="00EB62ED"/>
    <w:rsid w:val="00EB646E"/>
    <w:rsid w:val="00EB6DA2"/>
    <w:rsid w:val="00EB737C"/>
    <w:rsid w:val="00EB75ED"/>
    <w:rsid w:val="00EB7CDB"/>
    <w:rsid w:val="00EC02F5"/>
    <w:rsid w:val="00EC0625"/>
    <w:rsid w:val="00EC0727"/>
    <w:rsid w:val="00EC0738"/>
    <w:rsid w:val="00EC0779"/>
    <w:rsid w:val="00EC1341"/>
    <w:rsid w:val="00EC13D6"/>
    <w:rsid w:val="00EC1B18"/>
    <w:rsid w:val="00EC1DAB"/>
    <w:rsid w:val="00EC37CD"/>
    <w:rsid w:val="00EC3CC3"/>
    <w:rsid w:val="00EC4143"/>
    <w:rsid w:val="00EC4410"/>
    <w:rsid w:val="00EC46C6"/>
    <w:rsid w:val="00EC4CEA"/>
    <w:rsid w:val="00EC4FB3"/>
    <w:rsid w:val="00EC5F66"/>
    <w:rsid w:val="00EC618F"/>
    <w:rsid w:val="00EC66C9"/>
    <w:rsid w:val="00EC6819"/>
    <w:rsid w:val="00EC6ACE"/>
    <w:rsid w:val="00EC74D6"/>
    <w:rsid w:val="00EC7A20"/>
    <w:rsid w:val="00EC7F77"/>
    <w:rsid w:val="00ED01AC"/>
    <w:rsid w:val="00ED08C0"/>
    <w:rsid w:val="00ED0C08"/>
    <w:rsid w:val="00ED0C4D"/>
    <w:rsid w:val="00ED13AC"/>
    <w:rsid w:val="00ED19D3"/>
    <w:rsid w:val="00ED1AE4"/>
    <w:rsid w:val="00ED1C94"/>
    <w:rsid w:val="00ED1C9F"/>
    <w:rsid w:val="00ED1F4B"/>
    <w:rsid w:val="00ED2647"/>
    <w:rsid w:val="00ED2F6F"/>
    <w:rsid w:val="00ED35C1"/>
    <w:rsid w:val="00ED38EB"/>
    <w:rsid w:val="00ED3A37"/>
    <w:rsid w:val="00ED3E4B"/>
    <w:rsid w:val="00ED3F15"/>
    <w:rsid w:val="00ED4876"/>
    <w:rsid w:val="00ED4A8C"/>
    <w:rsid w:val="00ED58B4"/>
    <w:rsid w:val="00ED5C6D"/>
    <w:rsid w:val="00ED687B"/>
    <w:rsid w:val="00ED6C5B"/>
    <w:rsid w:val="00ED70B5"/>
    <w:rsid w:val="00ED710B"/>
    <w:rsid w:val="00EE0048"/>
    <w:rsid w:val="00EE025C"/>
    <w:rsid w:val="00EE0ADA"/>
    <w:rsid w:val="00EE0D55"/>
    <w:rsid w:val="00EE0F7A"/>
    <w:rsid w:val="00EE0FC1"/>
    <w:rsid w:val="00EE1221"/>
    <w:rsid w:val="00EE1BB6"/>
    <w:rsid w:val="00EE2146"/>
    <w:rsid w:val="00EE21CD"/>
    <w:rsid w:val="00EE29BD"/>
    <w:rsid w:val="00EE2CE3"/>
    <w:rsid w:val="00EE2FE7"/>
    <w:rsid w:val="00EE34F3"/>
    <w:rsid w:val="00EE3B69"/>
    <w:rsid w:val="00EE400B"/>
    <w:rsid w:val="00EE41DB"/>
    <w:rsid w:val="00EE42D9"/>
    <w:rsid w:val="00EE4564"/>
    <w:rsid w:val="00EE5277"/>
    <w:rsid w:val="00EE5C2D"/>
    <w:rsid w:val="00EE5D0F"/>
    <w:rsid w:val="00EE7096"/>
    <w:rsid w:val="00EE70D4"/>
    <w:rsid w:val="00EE7130"/>
    <w:rsid w:val="00EE7287"/>
    <w:rsid w:val="00EE72F2"/>
    <w:rsid w:val="00EE78F4"/>
    <w:rsid w:val="00EE7E86"/>
    <w:rsid w:val="00EE7FF1"/>
    <w:rsid w:val="00EF0A07"/>
    <w:rsid w:val="00EF110E"/>
    <w:rsid w:val="00EF141E"/>
    <w:rsid w:val="00EF1712"/>
    <w:rsid w:val="00EF1BB3"/>
    <w:rsid w:val="00EF1DE4"/>
    <w:rsid w:val="00EF2209"/>
    <w:rsid w:val="00EF2CAC"/>
    <w:rsid w:val="00EF3976"/>
    <w:rsid w:val="00EF3A43"/>
    <w:rsid w:val="00EF43B3"/>
    <w:rsid w:val="00EF4440"/>
    <w:rsid w:val="00EF454A"/>
    <w:rsid w:val="00EF46F9"/>
    <w:rsid w:val="00EF48D8"/>
    <w:rsid w:val="00EF5DB8"/>
    <w:rsid w:val="00EF6126"/>
    <w:rsid w:val="00EF6386"/>
    <w:rsid w:val="00EF63C4"/>
    <w:rsid w:val="00EF66AF"/>
    <w:rsid w:val="00EF6A48"/>
    <w:rsid w:val="00EF6BA9"/>
    <w:rsid w:val="00EF7C30"/>
    <w:rsid w:val="00EF7EA2"/>
    <w:rsid w:val="00EF7FEA"/>
    <w:rsid w:val="00F010FB"/>
    <w:rsid w:val="00F01194"/>
    <w:rsid w:val="00F01B8D"/>
    <w:rsid w:val="00F01D33"/>
    <w:rsid w:val="00F01E11"/>
    <w:rsid w:val="00F02420"/>
    <w:rsid w:val="00F030AB"/>
    <w:rsid w:val="00F036CB"/>
    <w:rsid w:val="00F03972"/>
    <w:rsid w:val="00F03C28"/>
    <w:rsid w:val="00F04562"/>
    <w:rsid w:val="00F0531C"/>
    <w:rsid w:val="00F0565E"/>
    <w:rsid w:val="00F05F22"/>
    <w:rsid w:val="00F05FC0"/>
    <w:rsid w:val="00F06130"/>
    <w:rsid w:val="00F06285"/>
    <w:rsid w:val="00F06F3C"/>
    <w:rsid w:val="00F071B8"/>
    <w:rsid w:val="00F0725E"/>
    <w:rsid w:val="00F07503"/>
    <w:rsid w:val="00F104A8"/>
    <w:rsid w:val="00F116C2"/>
    <w:rsid w:val="00F1182E"/>
    <w:rsid w:val="00F11856"/>
    <w:rsid w:val="00F11E96"/>
    <w:rsid w:val="00F12157"/>
    <w:rsid w:val="00F127E6"/>
    <w:rsid w:val="00F1294D"/>
    <w:rsid w:val="00F12BE0"/>
    <w:rsid w:val="00F12DFE"/>
    <w:rsid w:val="00F13E51"/>
    <w:rsid w:val="00F14269"/>
    <w:rsid w:val="00F145D5"/>
    <w:rsid w:val="00F14839"/>
    <w:rsid w:val="00F151A9"/>
    <w:rsid w:val="00F15498"/>
    <w:rsid w:val="00F15514"/>
    <w:rsid w:val="00F1560A"/>
    <w:rsid w:val="00F15AB2"/>
    <w:rsid w:val="00F15E99"/>
    <w:rsid w:val="00F1603C"/>
    <w:rsid w:val="00F161CD"/>
    <w:rsid w:val="00F16B88"/>
    <w:rsid w:val="00F17456"/>
    <w:rsid w:val="00F17511"/>
    <w:rsid w:val="00F17750"/>
    <w:rsid w:val="00F17FF6"/>
    <w:rsid w:val="00F20E52"/>
    <w:rsid w:val="00F21585"/>
    <w:rsid w:val="00F216F0"/>
    <w:rsid w:val="00F21789"/>
    <w:rsid w:val="00F217D9"/>
    <w:rsid w:val="00F22016"/>
    <w:rsid w:val="00F22156"/>
    <w:rsid w:val="00F22936"/>
    <w:rsid w:val="00F22958"/>
    <w:rsid w:val="00F23A92"/>
    <w:rsid w:val="00F23CFD"/>
    <w:rsid w:val="00F24996"/>
    <w:rsid w:val="00F24B7F"/>
    <w:rsid w:val="00F254C6"/>
    <w:rsid w:val="00F25A27"/>
    <w:rsid w:val="00F25CE9"/>
    <w:rsid w:val="00F25DB2"/>
    <w:rsid w:val="00F25E32"/>
    <w:rsid w:val="00F2652B"/>
    <w:rsid w:val="00F268A4"/>
    <w:rsid w:val="00F26A1A"/>
    <w:rsid w:val="00F26D6F"/>
    <w:rsid w:val="00F271BE"/>
    <w:rsid w:val="00F27718"/>
    <w:rsid w:val="00F277CA"/>
    <w:rsid w:val="00F27B04"/>
    <w:rsid w:val="00F306AD"/>
    <w:rsid w:val="00F3126B"/>
    <w:rsid w:val="00F313E1"/>
    <w:rsid w:val="00F32535"/>
    <w:rsid w:val="00F329E7"/>
    <w:rsid w:val="00F33784"/>
    <w:rsid w:val="00F33A7F"/>
    <w:rsid w:val="00F33E1E"/>
    <w:rsid w:val="00F3410E"/>
    <w:rsid w:val="00F34420"/>
    <w:rsid w:val="00F347F7"/>
    <w:rsid w:val="00F34B30"/>
    <w:rsid w:val="00F34FE0"/>
    <w:rsid w:val="00F350A9"/>
    <w:rsid w:val="00F351BD"/>
    <w:rsid w:val="00F35306"/>
    <w:rsid w:val="00F35841"/>
    <w:rsid w:val="00F362F6"/>
    <w:rsid w:val="00F36CAA"/>
    <w:rsid w:val="00F37063"/>
    <w:rsid w:val="00F37101"/>
    <w:rsid w:val="00F371F7"/>
    <w:rsid w:val="00F378D5"/>
    <w:rsid w:val="00F37B43"/>
    <w:rsid w:val="00F40568"/>
    <w:rsid w:val="00F405D0"/>
    <w:rsid w:val="00F40977"/>
    <w:rsid w:val="00F40AB1"/>
    <w:rsid w:val="00F40C70"/>
    <w:rsid w:val="00F40EBE"/>
    <w:rsid w:val="00F416F1"/>
    <w:rsid w:val="00F41A0B"/>
    <w:rsid w:val="00F41A7E"/>
    <w:rsid w:val="00F41FCE"/>
    <w:rsid w:val="00F425CA"/>
    <w:rsid w:val="00F430AF"/>
    <w:rsid w:val="00F43319"/>
    <w:rsid w:val="00F433A2"/>
    <w:rsid w:val="00F44214"/>
    <w:rsid w:val="00F44C20"/>
    <w:rsid w:val="00F458DF"/>
    <w:rsid w:val="00F45CD4"/>
    <w:rsid w:val="00F45E2B"/>
    <w:rsid w:val="00F46379"/>
    <w:rsid w:val="00F463FB"/>
    <w:rsid w:val="00F4655F"/>
    <w:rsid w:val="00F469D6"/>
    <w:rsid w:val="00F46CF3"/>
    <w:rsid w:val="00F4720F"/>
    <w:rsid w:val="00F477D0"/>
    <w:rsid w:val="00F50077"/>
    <w:rsid w:val="00F50088"/>
    <w:rsid w:val="00F5020F"/>
    <w:rsid w:val="00F502C5"/>
    <w:rsid w:val="00F50442"/>
    <w:rsid w:val="00F505B3"/>
    <w:rsid w:val="00F509B0"/>
    <w:rsid w:val="00F511FA"/>
    <w:rsid w:val="00F51725"/>
    <w:rsid w:val="00F5198F"/>
    <w:rsid w:val="00F51FF8"/>
    <w:rsid w:val="00F526F5"/>
    <w:rsid w:val="00F52A13"/>
    <w:rsid w:val="00F5355F"/>
    <w:rsid w:val="00F53713"/>
    <w:rsid w:val="00F54118"/>
    <w:rsid w:val="00F5411B"/>
    <w:rsid w:val="00F544C8"/>
    <w:rsid w:val="00F5458B"/>
    <w:rsid w:val="00F546A1"/>
    <w:rsid w:val="00F558B2"/>
    <w:rsid w:val="00F55BE5"/>
    <w:rsid w:val="00F55F96"/>
    <w:rsid w:val="00F56040"/>
    <w:rsid w:val="00F57669"/>
    <w:rsid w:val="00F57AA6"/>
    <w:rsid w:val="00F57AF8"/>
    <w:rsid w:val="00F60409"/>
    <w:rsid w:val="00F605EF"/>
    <w:rsid w:val="00F60E29"/>
    <w:rsid w:val="00F6132A"/>
    <w:rsid w:val="00F6153C"/>
    <w:rsid w:val="00F61D08"/>
    <w:rsid w:val="00F6231B"/>
    <w:rsid w:val="00F62331"/>
    <w:rsid w:val="00F6256D"/>
    <w:rsid w:val="00F6294F"/>
    <w:rsid w:val="00F62F7D"/>
    <w:rsid w:val="00F6342A"/>
    <w:rsid w:val="00F63636"/>
    <w:rsid w:val="00F65584"/>
    <w:rsid w:val="00F663B6"/>
    <w:rsid w:val="00F6694C"/>
    <w:rsid w:val="00F669DB"/>
    <w:rsid w:val="00F6742C"/>
    <w:rsid w:val="00F6742E"/>
    <w:rsid w:val="00F675B1"/>
    <w:rsid w:val="00F675CD"/>
    <w:rsid w:val="00F67DB5"/>
    <w:rsid w:val="00F67ECF"/>
    <w:rsid w:val="00F704FE"/>
    <w:rsid w:val="00F7059C"/>
    <w:rsid w:val="00F70E57"/>
    <w:rsid w:val="00F70FB2"/>
    <w:rsid w:val="00F712DA"/>
    <w:rsid w:val="00F715E4"/>
    <w:rsid w:val="00F71C88"/>
    <w:rsid w:val="00F71E83"/>
    <w:rsid w:val="00F7274D"/>
    <w:rsid w:val="00F72A9D"/>
    <w:rsid w:val="00F72C9F"/>
    <w:rsid w:val="00F73AF6"/>
    <w:rsid w:val="00F73DF2"/>
    <w:rsid w:val="00F73F30"/>
    <w:rsid w:val="00F7424D"/>
    <w:rsid w:val="00F74391"/>
    <w:rsid w:val="00F747CC"/>
    <w:rsid w:val="00F7482D"/>
    <w:rsid w:val="00F74A64"/>
    <w:rsid w:val="00F74AEB"/>
    <w:rsid w:val="00F74FA9"/>
    <w:rsid w:val="00F753A1"/>
    <w:rsid w:val="00F75CE0"/>
    <w:rsid w:val="00F75FED"/>
    <w:rsid w:val="00F76938"/>
    <w:rsid w:val="00F76E98"/>
    <w:rsid w:val="00F771DA"/>
    <w:rsid w:val="00F77C67"/>
    <w:rsid w:val="00F77D4C"/>
    <w:rsid w:val="00F77DDF"/>
    <w:rsid w:val="00F801CE"/>
    <w:rsid w:val="00F80294"/>
    <w:rsid w:val="00F80309"/>
    <w:rsid w:val="00F8036B"/>
    <w:rsid w:val="00F80660"/>
    <w:rsid w:val="00F80826"/>
    <w:rsid w:val="00F808AF"/>
    <w:rsid w:val="00F80AA6"/>
    <w:rsid w:val="00F80CE1"/>
    <w:rsid w:val="00F80D00"/>
    <w:rsid w:val="00F80D2D"/>
    <w:rsid w:val="00F810D3"/>
    <w:rsid w:val="00F81C9B"/>
    <w:rsid w:val="00F82CDD"/>
    <w:rsid w:val="00F83397"/>
    <w:rsid w:val="00F83458"/>
    <w:rsid w:val="00F83629"/>
    <w:rsid w:val="00F8364E"/>
    <w:rsid w:val="00F83819"/>
    <w:rsid w:val="00F83C30"/>
    <w:rsid w:val="00F83E26"/>
    <w:rsid w:val="00F83FBA"/>
    <w:rsid w:val="00F84E3B"/>
    <w:rsid w:val="00F853D5"/>
    <w:rsid w:val="00F855E3"/>
    <w:rsid w:val="00F8684F"/>
    <w:rsid w:val="00F868F2"/>
    <w:rsid w:val="00F86E12"/>
    <w:rsid w:val="00F8709B"/>
    <w:rsid w:val="00F87322"/>
    <w:rsid w:val="00F87ABF"/>
    <w:rsid w:val="00F904BB"/>
    <w:rsid w:val="00F907EF"/>
    <w:rsid w:val="00F9091C"/>
    <w:rsid w:val="00F915B7"/>
    <w:rsid w:val="00F91DB9"/>
    <w:rsid w:val="00F91FFA"/>
    <w:rsid w:val="00F9234D"/>
    <w:rsid w:val="00F92F5F"/>
    <w:rsid w:val="00F933B0"/>
    <w:rsid w:val="00F93792"/>
    <w:rsid w:val="00F9381C"/>
    <w:rsid w:val="00F94A89"/>
    <w:rsid w:val="00F94AE7"/>
    <w:rsid w:val="00F95977"/>
    <w:rsid w:val="00F95E81"/>
    <w:rsid w:val="00F96023"/>
    <w:rsid w:val="00F9623B"/>
    <w:rsid w:val="00F96444"/>
    <w:rsid w:val="00F964BA"/>
    <w:rsid w:val="00F96690"/>
    <w:rsid w:val="00F97186"/>
    <w:rsid w:val="00F97265"/>
    <w:rsid w:val="00F97490"/>
    <w:rsid w:val="00F97D80"/>
    <w:rsid w:val="00FA0AAD"/>
    <w:rsid w:val="00FA1213"/>
    <w:rsid w:val="00FA1270"/>
    <w:rsid w:val="00FA1345"/>
    <w:rsid w:val="00FA1571"/>
    <w:rsid w:val="00FA16EF"/>
    <w:rsid w:val="00FA1CFA"/>
    <w:rsid w:val="00FA22FF"/>
    <w:rsid w:val="00FA2A41"/>
    <w:rsid w:val="00FA334A"/>
    <w:rsid w:val="00FA3391"/>
    <w:rsid w:val="00FA3438"/>
    <w:rsid w:val="00FA34C9"/>
    <w:rsid w:val="00FA37FC"/>
    <w:rsid w:val="00FA3AD1"/>
    <w:rsid w:val="00FA3C87"/>
    <w:rsid w:val="00FA4061"/>
    <w:rsid w:val="00FA51C6"/>
    <w:rsid w:val="00FA5F5B"/>
    <w:rsid w:val="00FA6D57"/>
    <w:rsid w:val="00FA79F7"/>
    <w:rsid w:val="00FA7B4E"/>
    <w:rsid w:val="00FA7EF4"/>
    <w:rsid w:val="00FB02BE"/>
    <w:rsid w:val="00FB0616"/>
    <w:rsid w:val="00FB0AC3"/>
    <w:rsid w:val="00FB0B2A"/>
    <w:rsid w:val="00FB0BE8"/>
    <w:rsid w:val="00FB0E91"/>
    <w:rsid w:val="00FB118B"/>
    <w:rsid w:val="00FB1AB2"/>
    <w:rsid w:val="00FB1E04"/>
    <w:rsid w:val="00FB226D"/>
    <w:rsid w:val="00FB26C6"/>
    <w:rsid w:val="00FB281A"/>
    <w:rsid w:val="00FB2A80"/>
    <w:rsid w:val="00FB2E09"/>
    <w:rsid w:val="00FB2E78"/>
    <w:rsid w:val="00FB3005"/>
    <w:rsid w:val="00FB310C"/>
    <w:rsid w:val="00FB345C"/>
    <w:rsid w:val="00FB4220"/>
    <w:rsid w:val="00FB4295"/>
    <w:rsid w:val="00FB4BB3"/>
    <w:rsid w:val="00FB4BBB"/>
    <w:rsid w:val="00FB4D1E"/>
    <w:rsid w:val="00FB50D2"/>
    <w:rsid w:val="00FB52AF"/>
    <w:rsid w:val="00FB5304"/>
    <w:rsid w:val="00FB553A"/>
    <w:rsid w:val="00FB5743"/>
    <w:rsid w:val="00FB5BA4"/>
    <w:rsid w:val="00FB5C22"/>
    <w:rsid w:val="00FB5F12"/>
    <w:rsid w:val="00FB60FE"/>
    <w:rsid w:val="00FB67E7"/>
    <w:rsid w:val="00FB6841"/>
    <w:rsid w:val="00FB68B6"/>
    <w:rsid w:val="00FB6926"/>
    <w:rsid w:val="00FB6BDD"/>
    <w:rsid w:val="00FB6FD7"/>
    <w:rsid w:val="00FB701E"/>
    <w:rsid w:val="00FB7413"/>
    <w:rsid w:val="00FB772F"/>
    <w:rsid w:val="00FB79B1"/>
    <w:rsid w:val="00FC0B85"/>
    <w:rsid w:val="00FC0C45"/>
    <w:rsid w:val="00FC1100"/>
    <w:rsid w:val="00FC11D0"/>
    <w:rsid w:val="00FC19C7"/>
    <w:rsid w:val="00FC19FD"/>
    <w:rsid w:val="00FC1A0A"/>
    <w:rsid w:val="00FC2061"/>
    <w:rsid w:val="00FC20C9"/>
    <w:rsid w:val="00FC215F"/>
    <w:rsid w:val="00FC21E9"/>
    <w:rsid w:val="00FC298F"/>
    <w:rsid w:val="00FC3CB6"/>
    <w:rsid w:val="00FC41C5"/>
    <w:rsid w:val="00FC427D"/>
    <w:rsid w:val="00FC4315"/>
    <w:rsid w:val="00FC4A9B"/>
    <w:rsid w:val="00FC5361"/>
    <w:rsid w:val="00FC57DA"/>
    <w:rsid w:val="00FC592E"/>
    <w:rsid w:val="00FC5FAB"/>
    <w:rsid w:val="00FC65B5"/>
    <w:rsid w:val="00FC6EDE"/>
    <w:rsid w:val="00FC7A8D"/>
    <w:rsid w:val="00FC7C72"/>
    <w:rsid w:val="00FD0336"/>
    <w:rsid w:val="00FD06D6"/>
    <w:rsid w:val="00FD1277"/>
    <w:rsid w:val="00FD12B8"/>
    <w:rsid w:val="00FD13A1"/>
    <w:rsid w:val="00FD1763"/>
    <w:rsid w:val="00FD18FD"/>
    <w:rsid w:val="00FD1E4E"/>
    <w:rsid w:val="00FD1F63"/>
    <w:rsid w:val="00FD2041"/>
    <w:rsid w:val="00FD2560"/>
    <w:rsid w:val="00FD2C79"/>
    <w:rsid w:val="00FD2D20"/>
    <w:rsid w:val="00FD3224"/>
    <w:rsid w:val="00FD33C5"/>
    <w:rsid w:val="00FD357B"/>
    <w:rsid w:val="00FD3923"/>
    <w:rsid w:val="00FD398D"/>
    <w:rsid w:val="00FD3BAF"/>
    <w:rsid w:val="00FD3D7F"/>
    <w:rsid w:val="00FD45C2"/>
    <w:rsid w:val="00FD5067"/>
    <w:rsid w:val="00FD542B"/>
    <w:rsid w:val="00FD57E2"/>
    <w:rsid w:val="00FD5ABF"/>
    <w:rsid w:val="00FD6464"/>
    <w:rsid w:val="00FD6BE2"/>
    <w:rsid w:val="00FD7174"/>
    <w:rsid w:val="00FD7909"/>
    <w:rsid w:val="00FD7A4D"/>
    <w:rsid w:val="00FD7C84"/>
    <w:rsid w:val="00FE010D"/>
    <w:rsid w:val="00FE02E0"/>
    <w:rsid w:val="00FE02E6"/>
    <w:rsid w:val="00FE0617"/>
    <w:rsid w:val="00FE06E2"/>
    <w:rsid w:val="00FE07B8"/>
    <w:rsid w:val="00FE0DB7"/>
    <w:rsid w:val="00FE1BFD"/>
    <w:rsid w:val="00FE1C2B"/>
    <w:rsid w:val="00FE2273"/>
    <w:rsid w:val="00FE2823"/>
    <w:rsid w:val="00FE2AA8"/>
    <w:rsid w:val="00FE2B55"/>
    <w:rsid w:val="00FE2BDD"/>
    <w:rsid w:val="00FE2C82"/>
    <w:rsid w:val="00FE3074"/>
    <w:rsid w:val="00FE33A6"/>
    <w:rsid w:val="00FE3B90"/>
    <w:rsid w:val="00FE3C7A"/>
    <w:rsid w:val="00FE3F74"/>
    <w:rsid w:val="00FE45E2"/>
    <w:rsid w:val="00FE46D4"/>
    <w:rsid w:val="00FE4A2D"/>
    <w:rsid w:val="00FE4E2D"/>
    <w:rsid w:val="00FE4FC2"/>
    <w:rsid w:val="00FE5C15"/>
    <w:rsid w:val="00FE5FA3"/>
    <w:rsid w:val="00FE611E"/>
    <w:rsid w:val="00FE69AB"/>
    <w:rsid w:val="00FE69BA"/>
    <w:rsid w:val="00FE6EDF"/>
    <w:rsid w:val="00FE7068"/>
    <w:rsid w:val="00FE7462"/>
    <w:rsid w:val="00FE7663"/>
    <w:rsid w:val="00FE792E"/>
    <w:rsid w:val="00FE7A5F"/>
    <w:rsid w:val="00FF035C"/>
    <w:rsid w:val="00FF0E24"/>
    <w:rsid w:val="00FF11FD"/>
    <w:rsid w:val="00FF1955"/>
    <w:rsid w:val="00FF2227"/>
    <w:rsid w:val="00FF2707"/>
    <w:rsid w:val="00FF28E3"/>
    <w:rsid w:val="00FF314B"/>
    <w:rsid w:val="00FF3254"/>
    <w:rsid w:val="00FF34FC"/>
    <w:rsid w:val="00FF3CB3"/>
    <w:rsid w:val="00FF3CFF"/>
    <w:rsid w:val="00FF4C40"/>
    <w:rsid w:val="00FF4D91"/>
    <w:rsid w:val="00FF51CB"/>
    <w:rsid w:val="00FF5378"/>
    <w:rsid w:val="00FF550F"/>
    <w:rsid w:val="00FF5931"/>
    <w:rsid w:val="00FF64C2"/>
    <w:rsid w:val="00FF6624"/>
    <w:rsid w:val="00FF6C92"/>
    <w:rsid w:val="00FF7011"/>
    <w:rsid w:val="00FF70D6"/>
    <w:rsid w:val="00FF71B0"/>
    <w:rsid w:val="00FF74E5"/>
    <w:rsid w:val="00FF7AAC"/>
    <w:rsid w:val="010E019F"/>
    <w:rsid w:val="0136EC94"/>
    <w:rsid w:val="0161E72F"/>
    <w:rsid w:val="017956E4"/>
    <w:rsid w:val="019C4EAC"/>
    <w:rsid w:val="01CD854F"/>
    <w:rsid w:val="01F50309"/>
    <w:rsid w:val="0208CF09"/>
    <w:rsid w:val="020D83C0"/>
    <w:rsid w:val="0241F204"/>
    <w:rsid w:val="028E0D77"/>
    <w:rsid w:val="02A0EC49"/>
    <w:rsid w:val="02AECA05"/>
    <w:rsid w:val="02C4237C"/>
    <w:rsid w:val="033D217C"/>
    <w:rsid w:val="03781D8B"/>
    <w:rsid w:val="037ACC58"/>
    <w:rsid w:val="0398ABF4"/>
    <w:rsid w:val="04131CC9"/>
    <w:rsid w:val="04300A86"/>
    <w:rsid w:val="04867B5C"/>
    <w:rsid w:val="04AD4197"/>
    <w:rsid w:val="05836DF6"/>
    <w:rsid w:val="062FD34D"/>
    <w:rsid w:val="06D65C47"/>
    <w:rsid w:val="06DE5921"/>
    <w:rsid w:val="072AB73B"/>
    <w:rsid w:val="07358AE9"/>
    <w:rsid w:val="0758D835"/>
    <w:rsid w:val="079D82F8"/>
    <w:rsid w:val="08B456B2"/>
    <w:rsid w:val="0910EB2A"/>
    <w:rsid w:val="091156F1"/>
    <w:rsid w:val="094B3A0E"/>
    <w:rsid w:val="09A845F1"/>
    <w:rsid w:val="0A037C7C"/>
    <w:rsid w:val="0A0F02BB"/>
    <w:rsid w:val="0A1F763A"/>
    <w:rsid w:val="0A363DFA"/>
    <w:rsid w:val="0A4E70F2"/>
    <w:rsid w:val="0A619C2D"/>
    <w:rsid w:val="0A83EC56"/>
    <w:rsid w:val="0A9B4803"/>
    <w:rsid w:val="0AA80BBD"/>
    <w:rsid w:val="0B00EE1A"/>
    <w:rsid w:val="0B045D36"/>
    <w:rsid w:val="0B090FFC"/>
    <w:rsid w:val="0B5ECB0D"/>
    <w:rsid w:val="0B61F040"/>
    <w:rsid w:val="0B8A4737"/>
    <w:rsid w:val="0BBFD7B7"/>
    <w:rsid w:val="0C292F9A"/>
    <w:rsid w:val="0C6C0882"/>
    <w:rsid w:val="0CA4E05D"/>
    <w:rsid w:val="0CBFA25C"/>
    <w:rsid w:val="0D1261C1"/>
    <w:rsid w:val="0D34CD20"/>
    <w:rsid w:val="0DEB1911"/>
    <w:rsid w:val="0E05A805"/>
    <w:rsid w:val="0E0E4FEC"/>
    <w:rsid w:val="0E3AA85B"/>
    <w:rsid w:val="0E42CF3C"/>
    <w:rsid w:val="0E90120E"/>
    <w:rsid w:val="0EE5FB18"/>
    <w:rsid w:val="0F06C4CA"/>
    <w:rsid w:val="0F2EB6B4"/>
    <w:rsid w:val="0F3473B1"/>
    <w:rsid w:val="0F3C132C"/>
    <w:rsid w:val="0F7065C1"/>
    <w:rsid w:val="0FF8139A"/>
    <w:rsid w:val="1045AE9A"/>
    <w:rsid w:val="106BDBAA"/>
    <w:rsid w:val="10AB53C2"/>
    <w:rsid w:val="10C24D55"/>
    <w:rsid w:val="10C597A1"/>
    <w:rsid w:val="11034079"/>
    <w:rsid w:val="113AA026"/>
    <w:rsid w:val="11639D0F"/>
    <w:rsid w:val="118AE4ED"/>
    <w:rsid w:val="11A36113"/>
    <w:rsid w:val="11B6D4B3"/>
    <w:rsid w:val="12BFA179"/>
    <w:rsid w:val="12C30177"/>
    <w:rsid w:val="12FF6D70"/>
    <w:rsid w:val="13138007"/>
    <w:rsid w:val="131B7284"/>
    <w:rsid w:val="132A15FF"/>
    <w:rsid w:val="134BEDFC"/>
    <w:rsid w:val="136046A5"/>
    <w:rsid w:val="136489F4"/>
    <w:rsid w:val="13BDE291"/>
    <w:rsid w:val="13CA5BBA"/>
    <w:rsid w:val="13CC1558"/>
    <w:rsid w:val="13D479A8"/>
    <w:rsid w:val="13EA7F40"/>
    <w:rsid w:val="13F1AF9E"/>
    <w:rsid w:val="148DDEBA"/>
    <w:rsid w:val="14C4AE65"/>
    <w:rsid w:val="14D77D77"/>
    <w:rsid w:val="14EC4F30"/>
    <w:rsid w:val="15203A7F"/>
    <w:rsid w:val="15563D0C"/>
    <w:rsid w:val="158AE5D8"/>
    <w:rsid w:val="1602E56E"/>
    <w:rsid w:val="162AA3DC"/>
    <w:rsid w:val="1662A1C5"/>
    <w:rsid w:val="16AF837B"/>
    <w:rsid w:val="16F3FC67"/>
    <w:rsid w:val="16FBC439"/>
    <w:rsid w:val="16FECDBF"/>
    <w:rsid w:val="1763405A"/>
    <w:rsid w:val="17759E93"/>
    <w:rsid w:val="1792902E"/>
    <w:rsid w:val="17A03CD2"/>
    <w:rsid w:val="17B42059"/>
    <w:rsid w:val="19065E77"/>
    <w:rsid w:val="1916F2C5"/>
    <w:rsid w:val="19514E71"/>
    <w:rsid w:val="197F43B3"/>
    <w:rsid w:val="19922A8D"/>
    <w:rsid w:val="19C00C84"/>
    <w:rsid w:val="19E0C300"/>
    <w:rsid w:val="1A154386"/>
    <w:rsid w:val="1A37FD45"/>
    <w:rsid w:val="1AF14247"/>
    <w:rsid w:val="1B51E0BE"/>
    <w:rsid w:val="1B65B1DC"/>
    <w:rsid w:val="1B7A7AD6"/>
    <w:rsid w:val="1B87827D"/>
    <w:rsid w:val="1B92B924"/>
    <w:rsid w:val="1B92E069"/>
    <w:rsid w:val="1BA3DF59"/>
    <w:rsid w:val="1BBD6882"/>
    <w:rsid w:val="1C20E11D"/>
    <w:rsid w:val="1C31EB2A"/>
    <w:rsid w:val="1C4A5029"/>
    <w:rsid w:val="1C6DD6CB"/>
    <w:rsid w:val="1C89CEDF"/>
    <w:rsid w:val="1CB8CAEF"/>
    <w:rsid w:val="1D39D89E"/>
    <w:rsid w:val="1D493D1E"/>
    <w:rsid w:val="1D8DDD8D"/>
    <w:rsid w:val="1D9DF82A"/>
    <w:rsid w:val="1DB723DF"/>
    <w:rsid w:val="1DC5077A"/>
    <w:rsid w:val="1DC5AECA"/>
    <w:rsid w:val="1DCE8875"/>
    <w:rsid w:val="1DCFA692"/>
    <w:rsid w:val="1DF96767"/>
    <w:rsid w:val="1DFA7BCA"/>
    <w:rsid w:val="1DFAEBDE"/>
    <w:rsid w:val="1E345321"/>
    <w:rsid w:val="1E657FDD"/>
    <w:rsid w:val="1EBF233F"/>
    <w:rsid w:val="1EC8237F"/>
    <w:rsid w:val="1EE188BE"/>
    <w:rsid w:val="1F1A4E60"/>
    <w:rsid w:val="201313D1"/>
    <w:rsid w:val="203A0EF2"/>
    <w:rsid w:val="204A1146"/>
    <w:rsid w:val="20AF7E1B"/>
    <w:rsid w:val="211F6BF6"/>
    <w:rsid w:val="213C22ED"/>
    <w:rsid w:val="2168F67F"/>
    <w:rsid w:val="21B85102"/>
    <w:rsid w:val="21E2F73C"/>
    <w:rsid w:val="221D363E"/>
    <w:rsid w:val="22690FE0"/>
    <w:rsid w:val="2272CB19"/>
    <w:rsid w:val="22A0174D"/>
    <w:rsid w:val="22D524E0"/>
    <w:rsid w:val="22FDDCDE"/>
    <w:rsid w:val="230E47E2"/>
    <w:rsid w:val="234956CA"/>
    <w:rsid w:val="235C1B26"/>
    <w:rsid w:val="242F3D91"/>
    <w:rsid w:val="24B97AFC"/>
    <w:rsid w:val="2616C138"/>
    <w:rsid w:val="26947395"/>
    <w:rsid w:val="269CFD4A"/>
    <w:rsid w:val="26A88ABC"/>
    <w:rsid w:val="26B0198E"/>
    <w:rsid w:val="26D396FA"/>
    <w:rsid w:val="275F93D8"/>
    <w:rsid w:val="2781013D"/>
    <w:rsid w:val="279A397C"/>
    <w:rsid w:val="288E03B1"/>
    <w:rsid w:val="28AC1416"/>
    <w:rsid w:val="28CAB096"/>
    <w:rsid w:val="28D96514"/>
    <w:rsid w:val="292E64F0"/>
    <w:rsid w:val="29A740C9"/>
    <w:rsid w:val="29A8BBF7"/>
    <w:rsid w:val="29AF8F5E"/>
    <w:rsid w:val="29F1797C"/>
    <w:rsid w:val="2A34E2E7"/>
    <w:rsid w:val="2A8E72F3"/>
    <w:rsid w:val="2A9018C2"/>
    <w:rsid w:val="2AA4A4F1"/>
    <w:rsid w:val="2AE800FE"/>
    <w:rsid w:val="2AEBD619"/>
    <w:rsid w:val="2B22FAB6"/>
    <w:rsid w:val="2B39B188"/>
    <w:rsid w:val="2B5FE8D0"/>
    <w:rsid w:val="2BC8B341"/>
    <w:rsid w:val="2BC97AAD"/>
    <w:rsid w:val="2BEC0436"/>
    <w:rsid w:val="2C216D56"/>
    <w:rsid w:val="2C7C48BA"/>
    <w:rsid w:val="2CCEC396"/>
    <w:rsid w:val="2CF4540B"/>
    <w:rsid w:val="2D2C9DBC"/>
    <w:rsid w:val="2D33340B"/>
    <w:rsid w:val="2DACAAF3"/>
    <w:rsid w:val="2DE3A2FF"/>
    <w:rsid w:val="2DEC915F"/>
    <w:rsid w:val="2DF91032"/>
    <w:rsid w:val="2DF968D9"/>
    <w:rsid w:val="2E13CF11"/>
    <w:rsid w:val="2EFC001F"/>
    <w:rsid w:val="2F1C5868"/>
    <w:rsid w:val="2F24CB1A"/>
    <w:rsid w:val="2F78693F"/>
    <w:rsid w:val="2FBCF288"/>
    <w:rsid w:val="2FC7D64F"/>
    <w:rsid w:val="2FCA449D"/>
    <w:rsid w:val="2FD00CD1"/>
    <w:rsid w:val="300E2DDB"/>
    <w:rsid w:val="3086C504"/>
    <w:rsid w:val="30879D1B"/>
    <w:rsid w:val="30A002F1"/>
    <w:rsid w:val="30A6128D"/>
    <w:rsid w:val="30F9C7E1"/>
    <w:rsid w:val="312286AE"/>
    <w:rsid w:val="313EAFF1"/>
    <w:rsid w:val="31410BE0"/>
    <w:rsid w:val="31639E37"/>
    <w:rsid w:val="3182ECB4"/>
    <w:rsid w:val="318DC00F"/>
    <w:rsid w:val="319295DF"/>
    <w:rsid w:val="31AAB2AD"/>
    <w:rsid w:val="31B252AE"/>
    <w:rsid w:val="32449D51"/>
    <w:rsid w:val="3249CD72"/>
    <w:rsid w:val="32909AD7"/>
    <w:rsid w:val="32A803B0"/>
    <w:rsid w:val="32CB586E"/>
    <w:rsid w:val="3376D083"/>
    <w:rsid w:val="3385C4B2"/>
    <w:rsid w:val="33AB136B"/>
    <w:rsid w:val="33C3E413"/>
    <w:rsid w:val="33D82328"/>
    <w:rsid w:val="3403BB4B"/>
    <w:rsid w:val="3418A3F6"/>
    <w:rsid w:val="346B6FF8"/>
    <w:rsid w:val="34ABCDAD"/>
    <w:rsid w:val="35072417"/>
    <w:rsid w:val="3523FB7D"/>
    <w:rsid w:val="352E8859"/>
    <w:rsid w:val="3556B294"/>
    <w:rsid w:val="3573F389"/>
    <w:rsid w:val="35DF8396"/>
    <w:rsid w:val="3610939D"/>
    <w:rsid w:val="36919B58"/>
    <w:rsid w:val="3779AE9D"/>
    <w:rsid w:val="37A34CF4"/>
    <w:rsid w:val="37BD4EC3"/>
    <w:rsid w:val="37E08B61"/>
    <w:rsid w:val="37E4D2CA"/>
    <w:rsid w:val="37F494B1"/>
    <w:rsid w:val="37F7F836"/>
    <w:rsid w:val="382B12F1"/>
    <w:rsid w:val="382D252E"/>
    <w:rsid w:val="386C62C8"/>
    <w:rsid w:val="38765D0C"/>
    <w:rsid w:val="3898CF24"/>
    <w:rsid w:val="38B073C2"/>
    <w:rsid w:val="390F0A6E"/>
    <w:rsid w:val="39654D7F"/>
    <w:rsid w:val="39D4AD3C"/>
    <w:rsid w:val="3A359013"/>
    <w:rsid w:val="3A4787E3"/>
    <w:rsid w:val="3A75B601"/>
    <w:rsid w:val="3A7939DA"/>
    <w:rsid w:val="3B08F037"/>
    <w:rsid w:val="3BCD83E9"/>
    <w:rsid w:val="3C66ED76"/>
    <w:rsid w:val="3C917E00"/>
    <w:rsid w:val="3CE2FA33"/>
    <w:rsid w:val="3CFA7F6F"/>
    <w:rsid w:val="3D24E722"/>
    <w:rsid w:val="3D999CE4"/>
    <w:rsid w:val="3D9B8396"/>
    <w:rsid w:val="3DE2FF73"/>
    <w:rsid w:val="3E0E0B15"/>
    <w:rsid w:val="3E1AE499"/>
    <w:rsid w:val="3E2B91BF"/>
    <w:rsid w:val="3E4FF4FA"/>
    <w:rsid w:val="3E71FE18"/>
    <w:rsid w:val="3EB9B8B5"/>
    <w:rsid w:val="3EC34692"/>
    <w:rsid w:val="3EE391D2"/>
    <w:rsid w:val="3F672551"/>
    <w:rsid w:val="3F6A8BE6"/>
    <w:rsid w:val="3F84D706"/>
    <w:rsid w:val="3FCB14C8"/>
    <w:rsid w:val="3FDC65C0"/>
    <w:rsid w:val="3FDED727"/>
    <w:rsid w:val="409256F7"/>
    <w:rsid w:val="4098B037"/>
    <w:rsid w:val="411D0714"/>
    <w:rsid w:val="4129E19D"/>
    <w:rsid w:val="41689D6C"/>
    <w:rsid w:val="4191D22C"/>
    <w:rsid w:val="41ADBAB2"/>
    <w:rsid w:val="41F6464F"/>
    <w:rsid w:val="42B8D775"/>
    <w:rsid w:val="42E66E19"/>
    <w:rsid w:val="4323E612"/>
    <w:rsid w:val="434008E8"/>
    <w:rsid w:val="43665146"/>
    <w:rsid w:val="43E9B96B"/>
    <w:rsid w:val="43E9B9DC"/>
    <w:rsid w:val="43ECC84D"/>
    <w:rsid w:val="43FB0F8B"/>
    <w:rsid w:val="442ED75E"/>
    <w:rsid w:val="445DE08E"/>
    <w:rsid w:val="4492EE66"/>
    <w:rsid w:val="44E9DEFD"/>
    <w:rsid w:val="44FF2151"/>
    <w:rsid w:val="44FF37D9"/>
    <w:rsid w:val="4507AD04"/>
    <w:rsid w:val="453088FD"/>
    <w:rsid w:val="453A214E"/>
    <w:rsid w:val="4543A9C4"/>
    <w:rsid w:val="45E5465D"/>
    <w:rsid w:val="45E582FA"/>
    <w:rsid w:val="469546DB"/>
    <w:rsid w:val="46FFDE8E"/>
    <w:rsid w:val="472A903E"/>
    <w:rsid w:val="4739C0C9"/>
    <w:rsid w:val="4778B354"/>
    <w:rsid w:val="47CD2884"/>
    <w:rsid w:val="483EF321"/>
    <w:rsid w:val="48438F83"/>
    <w:rsid w:val="4852D52D"/>
    <w:rsid w:val="485DA3B8"/>
    <w:rsid w:val="48C06F1C"/>
    <w:rsid w:val="49105383"/>
    <w:rsid w:val="4959F0BB"/>
    <w:rsid w:val="49B004F7"/>
    <w:rsid w:val="49DE81C0"/>
    <w:rsid w:val="49F848E8"/>
    <w:rsid w:val="4A156A59"/>
    <w:rsid w:val="4A18A647"/>
    <w:rsid w:val="4A3345D8"/>
    <w:rsid w:val="4A3CB20C"/>
    <w:rsid w:val="4A514847"/>
    <w:rsid w:val="4A578146"/>
    <w:rsid w:val="4AC86F0E"/>
    <w:rsid w:val="4AE8B5F1"/>
    <w:rsid w:val="4B02B320"/>
    <w:rsid w:val="4B10A596"/>
    <w:rsid w:val="4B376846"/>
    <w:rsid w:val="4B46D9BE"/>
    <w:rsid w:val="4B82F175"/>
    <w:rsid w:val="4B9C8911"/>
    <w:rsid w:val="4BEEFC2F"/>
    <w:rsid w:val="4C033A1A"/>
    <w:rsid w:val="4C451E22"/>
    <w:rsid w:val="4DB0EFD3"/>
    <w:rsid w:val="4E0C3639"/>
    <w:rsid w:val="4E1F1C17"/>
    <w:rsid w:val="4E754139"/>
    <w:rsid w:val="4EBA9237"/>
    <w:rsid w:val="4F1ECEAD"/>
    <w:rsid w:val="4F5ADE75"/>
    <w:rsid w:val="4F5E8BB0"/>
    <w:rsid w:val="4F8D942F"/>
    <w:rsid w:val="4FBFFF40"/>
    <w:rsid w:val="4FDBC17D"/>
    <w:rsid w:val="4FE58B09"/>
    <w:rsid w:val="4FE59D17"/>
    <w:rsid w:val="4FEA3FBC"/>
    <w:rsid w:val="507A19B9"/>
    <w:rsid w:val="50FEF291"/>
    <w:rsid w:val="51198D71"/>
    <w:rsid w:val="51273C8B"/>
    <w:rsid w:val="512ACADC"/>
    <w:rsid w:val="5174C813"/>
    <w:rsid w:val="518C970C"/>
    <w:rsid w:val="51A89D63"/>
    <w:rsid w:val="51AC75E5"/>
    <w:rsid w:val="5219878B"/>
    <w:rsid w:val="522843D3"/>
    <w:rsid w:val="524D8B86"/>
    <w:rsid w:val="525989E8"/>
    <w:rsid w:val="529DDFC9"/>
    <w:rsid w:val="52AA52F3"/>
    <w:rsid w:val="53024B01"/>
    <w:rsid w:val="534A38C5"/>
    <w:rsid w:val="5360FF5D"/>
    <w:rsid w:val="5361AA46"/>
    <w:rsid w:val="53A7C2E4"/>
    <w:rsid w:val="53BF9DFA"/>
    <w:rsid w:val="53DFB318"/>
    <w:rsid w:val="545CAA69"/>
    <w:rsid w:val="54A27E0F"/>
    <w:rsid w:val="553BC7E3"/>
    <w:rsid w:val="554672F2"/>
    <w:rsid w:val="5573F375"/>
    <w:rsid w:val="55C8D39F"/>
    <w:rsid w:val="55D00CBF"/>
    <w:rsid w:val="55D9EC95"/>
    <w:rsid w:val="567F131C"/>
    <w:rsid w:val="56AA29A7"/>
    <w:rsid w:val="56ECFF68"/>
    <w:rsid w:val="56F2609C"/>
    <w:rsid w:val="56FCB663"/>
    <w:rsid w:val="56FDC0EA"/>
    <w:rsid w:val="5702AD9D"/>
    <w:rsid w:val="57597A5D"/>
    <w:rsid w:val="58431A15"/>
    <w:rsid w:val="585FAC42"/>
    <w:rsid w:val="588589B9"/>
    <w:rsid w:val="58AB94CC"/>
    <w:rsid w:val="58C03878"/>
    <w:rsid w:val="58CE2FEC"/>
    <w:rsid w:val="5940B281"/>
    <w:rsid w:val="5947886E"/>
    <w:rsid w:val="5965D662"/>
    <w:rsid w:val="59CF5531"/>
    <w:rsid w:val="59DD35EF"/>
    <w:rsid w:val="5A90EF3E"/>
    <w:rsid w:val="5ADA1AE6"/>
    <w:rsid w:val="5ADECD55"/>
    <w:rsid w:val="5AF17710"/>
    <w:rsid w:val="5AFB61A1"/>
    <w:rsid w:val="5B030A97"/>
    <w:rsid w:val="5B2A5535"/>
    <w:rsid w:val="5B638849"/>
    <w:rsid w:val="5BBED638"/>
    <w:rsid w:val="5BCE09B5"/>
    <w:rsid w:val="5C14B083"/>
    <w:rsid w:val="5C25B7DD"/>
    <w:rsid w:val="5C6B7145"/>
    <w:rsid w:val="5C73AFD5"/>
    <w:rsid w:val="5CB9D524"/>
    <w:rsid w:val="5CE95C71"/>
    <w:rsid w:val="5D5FDE27"/>
    <w:rsid w:val="5DF9F1E2"/>
    <w:rsid w:val="5E213D82"/>
    <w:rsid w:val="5E78E6DF"/>
    <w:rsid w:val="5E98EE42"/>
    <w:rsid w:val="5EE5873B"/>
    <w:rsid w:val="5EEC1B93"/>
    <w:rsid w:val="5FB6BEFF"/>
    <w:rsid w:val="5FBD0DE3"/>
    <w:rsid w:val="5FDE1090"/>
    <w:rsid w:val="6015FA8D"/>
    <w:rsid w:val="6043B219"/>
    <w:rsid w:val="60966E36"/>
    <w:rsid w:val="60A8ADEC"/>
    <w:rsid w:val="60BCA298"/>
    <w:rsid w:val="610A07C1"/>
    <w:rsid w:val="61189BAC"/>
    <w:rsid w:val="611A7272"/>
    <w:rsid w:val="611C4389"/>
    <w:rsid w:val="6145DD38"/>
    <w:rsid w:val="614FBEDF"/>
    <w:rsid w:val="6160B894"/>
    <w:rsid w:val="6161F805"/>
    <w:rsid w:val="6190EDD1"/>
    <w:rsid w:val="61C5BE46"/>
    <w:rsid w:val="620D63D7"/>
    <w:rsid w:val="621401DD"/>
    <w:rsid w:val="624B8C04"/>
    <w:rsid w:val="62656C12"/>
    <w:rsid w:val="6284E5E7"/>
    <w:rsid w:val="62A4647B"/>
    <w:rsid w:val="62CCCD2F"/>
    <w:rsid w:val="6323FE83"/>
    <w:rsid w:val="63575771"/>
    <w:rsid w:val="635DFACA"/>
    <w:rsid w:val="63C704E2"/>
    <w:rsid w:val="63C7C88D"/>
    <w:rsid w:val="63E75D96"/>
    <w:rsid w:val="63E8A75E"/>
    <w:rsid w:val="640186BF"/>
    <w:rsid w:val="6405983D"/>
    <w:rsid w:val="642D5A06"/>
    <w:rsid w:val="647E880C"/>
    <w:rsid w:val="6486E9A0"/>
    <w:rsid w:val="64DC64C5"/>
    <w:rsid w:val="64FD0A85"/>
    <w:rsid w:val="6518268B"/>
    <w:rsid w:val="65888592"/>
    <w:rsid w:val="65889917"/>
    <w:rsid w:val="65D1A285"/>
    <w:rsid w:val="65DAEA0F"/>
    <w:rsid w:val="65DE1664"/>
    <w:rsid w:val="6607CBA7"/>
    <w:rsid w:val="66380ADE"/>
    <w:rsid w:val="666F98C7"/>
    <w:rsid w:val="66AA08A7"/>
    <w:rsid w:val="66E1E5F7"/>
    <w:rsid w:val="671C5235"/>
    <w:rsid w:val="671C52BF"/>
    <w:rsid w:val="67395FE2"/>
    <w:rsid w:val="68019BE4"/>
    <w:rsid w:val="6827B875"/>
    <w:rsid w:val="682B11AB"/>
    <w:rsid w:val="683FF324"/>
    <w:rsid w:val="68A123A5"/>
    <w:rsid w:val="68B59ECA"/>
    <w:rsid w:val="68FB8848"/>
    <w:rsid w:val="6934DFB0"/>
    <w:rsid w:val="6947F4CD"/>
    <w:rsid w:val="69A51E70"/>
    <w:rsid w:val="69E7C291"/>
    <w:rsid w:val="6A718845"/>
    <w:rsid w:val="6A7D3DBD"/>
    <w:rsid w:val="6A854773"/>
    <w:rsid w:val="6AB977B0"/>
    <w:rsid w:val="6B37DFB7"/>
    <w:rsid w:val="6B68B1FC"/>
    <w:rsid w:val="6BF08A55"/>
    <w:rsid w:val="6BFE2A6A"/>
    <w:rsid w:val="6C0F09AC"/>
    <w:rsid w:val="6C17F16D"/>
    <w:rsid w:val="6C4BC691"/>
    <w:rsid w:val="6C8FA99E"/>
    <w:rsid w:val="6C922D8C"/>
    <w:rsid w:val="6CAC292C"/>
    <w:rsid w:val="6CB40175"/>
    <w:rsid w:val="6CCA01E6"/>
    <w:rsid w:val="6D4CA342"/>
    <w:rsid w:val="6D6E896B"/>
    <w:rsid w:val="6D9B547B"/>
    <w:rsid w:val="6DE88A1E"/>
    <w:rsid w:val="6E38BC13"/>
    <w:rsid w:val="6E5BBCFD"/>
    <w:rsid w:val="6E6F29CE"/>
    <w:rsid w:val="6F2CB1D3"/>
    <w:rsid w:val="6F3B8E74"/>
    <w:rsid w:val="6F8531E4"/>
    <w:rsid w:val="6F97D3A3"/>
    <w:rsid w:val="6FDCF626"/>
    <w:rsid w:val="6FE7622C"/>
    <w:rsid w:val="7005DF3C"/>
    <w:rsid w:val="700CC191"/>
    <w:rsid w:val="703324EE"/>
    <w:rsid w:val="7072C419"/>
    <w:rsid w:val="70EAFD76"/>
    <w:rsid w:val="711E67E5"/>
    <w:rsid w:val="71716645"/>
    <w:rsid w:val="71733AA8"/>
    <w:rsid w:val="71BAACA1"/>
    <w:rsid w:val="71DF558D"/>
    <w:rsid w:val="71EEA0A2"/>
    <w:rsid w:val="720A8A2D"/>
    <w:rsid w:val="7245AE63"/>
    <w:rsid w:val="72F32AEF"/>
    <w:rsid w:val="7307174F"/>
    <w:rsid w:val="7320A6C8"/>
    <w:rsid w:val="7330F4B0"/>
    <w:rsid w:val="7353786A"/>
    <w:rsid w:val="73702CB3"/>
    <w:rsid w:val="73741E94"/>
    <w:rsid w:val="738730E6"/>
    <w:rsid w:val="73D3AFB9"/>
    <w:rsid w:val="7400195F"/>
    <w:rsid w:val="74247132"/>
    <w:rsid w:val="742D2937"/>
    <w:rsid w:val="74343E11"/>
    <w:rsid w:val="7446F7AB"/>
    <w:rsid w:val="74787F2F"/>
    <w:rsid w:val="74BCD5BF"/>
    <w:rsid w:val="74F7CA83"/>
    <w:rsid w:val="75200CEA"/>
    <w:rsid w:val="755AE284"/>
    <w:rsid w:val="75784982"/>
    <w:rsid w:val="75A24013"/>
    <w:rsid w:val="75A7951F"/>
    <w:rsid w:val="75C1F5DB"/>
    <w:rsid w:val="75C9B8AE"/>
    <w:rsid w:val="762CF105"/>
    <w:rsid w:val="765FEDF1"/>
    <w:rsid w:val="7660FC56"/>
    <w:rsid w:val="7669207D"/>
    <w:rsid w:val="769D537F"/>
    <w:rsid w:val="76E4E377"/>
    <w:rsid w:val="774CF9E6"/>
    <w:rsid w:val="777B657D"/>
    <w:rsid w:val="7789A563"/>
    <w:rsid w:val="779F8249"/>
    <w:rsid w:val="77CD0630"/>
    <w:rsid w:val="77D86F2C"/>
    <w:rsid w:val="77E0FF2D"/>
    <w:rsid w:val="78738183"/>
    <w:rsid w:val="78CEDECE"/>
    <w:rsid w:val="78D05579"/>
    <w:rsid w:val="78F9C227"/>
    <w:rsid w:val="7901EC6C"/>
    <w:rsid w:val="790F07ED"/>
    <w:rsid w:val="792575C4"/>
    <w:rsid w:val="792EF6FC"/>
    <w:rsid w:val="7933B025"/>
    <w:rsid w:val="79687320"/>
    <w:rsid w:val="79968A8B"/>
    <w:rsid w:val="7A1451A1"/>
    <w:rsid w:val="7A2638FC"/>
    <w:rsid w:val="7A54AE89"/>
    <w:rsid w:val="7A9566FE"/>
    <w:rsid w:val="7AA477C1"/>
    <w:rsid w:val="7AB85E1A"/>
    <w:rsid w:val="7B0C148E"/>
    <w:rsid w:val="7B422D8B"/>
    <w:rsid w:val="7B62BB95"/>
    <w:rsid w:val="7B940499"/>
    <w:rsid w:val="7BC779C1"/>
    <w:rsid w:val="7BDEC19E"/>
    <w:rsid w:val="7C316425"/>
    <w:rsid w:val="7C5F45C5"/>
    <w:rsid w:val="7C792E3E"/>
    <w:rsid w:val="7C8C4B36"/>
    <w:rsid w:val="7CAD2A3C"/>
    <w:rsid w:val="7CBA49C5"/>
    <w:rsid w:val="7CCA9902"/>
    <w:rsid w:val="7CDDFDEC"/>
    <w:rsid w:val="7CE37388"/>
    <w:rsid w:val="7CEC1C2D"/>
    <w:rsid w:val="7CF40F1F"/>
    <w:rsid w:val="7CF4B8A2"/>
    <w:rsid w:val="7D1DA893"/>
    <w:rsid w:val="7D8C4F4B"/>
    <w:rsid w:val="7DA173F6"/>
    <w:rsid w:val="7DA4FB18"/>
    <w:rsid w:val="7DCE244D"/>
    <w:rsid w:val="7E0EC3CD"/>
    <w:rsid w:val="7E327EC6"/>
    <w:rsid w:val="7EE57D56"/>
    <w:rsid w:val="7F1CA77E"/>
    <w:rsid w:val="7F2D3430"/>
    <w:rsid w:val="7F401439"/>
    <w:rsid w:val="7F7DACB3"/>
    <w:rsid w:val="7FAA2322"/>
    <w:rsid w:val="7FC19CAF"/>
    <w:rsid w:val="7FD8506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4273">
      <o:colormru v:ext="edit" colors="#ffc425"/>
    </o:shapedefaults>
    <o:shapelayout v:ext="edit">
      <o:idmap v:ext="edit" data="2"/>
    </o:shapelayout>
  </w:shapeDefaults>
  <w:decimalSymbol w:val="."/>
  <w:listSeparator w:val=","/>
  <w14:docId w14:val="3F3A49C3"/>
  <w15:docId w15:val="{E73AFBAC-D453-48D5-85B3-02BD177B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AC6E16"/>
    <w:pPr>
      <w:spacing w:before="160" w:line="260" w:lineRule="exact"/>
    </w:pPr>
    <w:rPr>
      <w:rFonts w:ascii="Trebuchet MS" w:hAnsi="Trebuchet MS"/>
      <w:sz w:val="19"/>
      <w:lang w:val="en-AU"/>
    </w:rPr>
  </w:style>
  <w:style w:type="paragraph" w:styleId="Heading1">
    <w:name w:val="heading 1"/>
    <w:next w:val="Text"/>
    <w:qFormat/>
    <w:rsid w:val="004F0B76"/>
    <w:pPr>
      <w:keepNext/>
      <w:spacing w:after="360"/>
      <w:outlineLvl w:val="0"/>
    </w:pPr>
    <w:rPr>
      <w:rFonts w:ascii="Arial" w:hAnsi="Arial" w:cs="Tahoma"/>
      <w:color w:val="000000"/>
      <w:kern w:val="28"/>
      <w:sz w:val="48"/>
      <w:szCs w:val="56"/>
      <w:lang w:val="en-AU"/>
    </w:rPr>
  </w:style>
  <w:style w:type="paragraph" w:styleId="Heading2">
    <w:name w:val="heading 2"/>
    <w:next w:val="Text"/>
    <w:qFormat/>
    <w:rsid w:val="005378DA"/>
    <w:pPr>
      <w:keepNext/>
      <w:spacing w:before="360"/>
      <w:ind w:right="-1"/>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E93C4E"/>
    <w:pPr>
      <w:spacing w:before="280"/>
      <w:outlineLvl w:val="3"/>
    </w:pPr>
    <w:rPr>
      <w:rFonts w:ascii="Arial" w:hAnsi="Arial"/>
      <w:i/>
      <w:sz w:val="22"/>
      <w:lang w:val="en-AU"/>
    </w:rPr>
  </w:style>
  <w:style w:type="paragraph" w:styleId="Heading5">
    <w:name w:val="heading 5"/>
    <w:basedOn w:val="Normal"/>
    <w:next w:val="Normal"/>
    <w:qFormat/>
    <w:rsid w:val="006D546E"/>
    <w:pPr>
      <w:keepNext/>
      <w:outlineLvl w:val="4"/>
    </w:pPr>
    <w:rPr>
      <w:rFonts w:ascii="Tahoma" w:hAnsi="Tahoma"/>
      <w:b/>
    </w:rPr>
  </w:style>
  <w:style w:type="paragraph" w:styleId="Heading6">
    <w:name w:val="heading 6"/>
    <w:basedOn w:val="Normal"/>
    <w:next w:val="Normal"/>
    <w:qFormat/>
    <w:rsid w:val="006D546E"/>
    <w:pPr>
      <w:keepNext/>
      <w:ind w:left="2977"/>
      <w:outlineLvl w:val="5"/>
    </w:pPr>
    <w:rPr>
      <w:rFonts w:ascii="Tahoma" w:hAnsi="Tahoma"/>
      <w:sz w:val="20"/>
    </w:rPr>
  </w:style>
  <w:style w:type="paragraph" w:styleId="Heading7">
    <w:name w:val="heading 7"/>
    <w:basedOn w:val="Normal"/>
    <w:next w:val="Normal"/>
    <w:qFormat/>
    <w:rsid w:val="006D546E"/>
    <w:pPr>
      <w:keepNext/>
      <w:jc w:val="center"/>
      <w:outlineLvl w:val="6"/>
    </w:pPr>
    <w:rPr>
      <w:rFonts w:ascii="Tahoma" w:hAnsi="Tahoma"/>
      <w:spacing w:val="20"/>
      <w:sz w:val="20"/>
    </w:rPr>
  </w:style>
  <w:style w:type="paragraph" w:styleId="Heading8">
    <w:name w:val="heading 8"/>
    <w:basedOn w:val="Normal"/>
    <w:next w:val="Normal"/>
    <w:qFormat/>
    <w:rsid w:val="006D546E"/>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A831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5955B2"/>
    <w:pPr>
      <w:spacing w:before="160" w:line="300" w:lineRule="exact"/>
    </w:pPr>
    <w:rPr>
      <w:rFonts w:ascii="Trebuchet MS" w:hAnsi="Trebuchet MS"/>
      <w:sz w:val="19"/>
      <w:lang w:val="en-AU"/>
    </w:rPr>
  </w:style>
  <w:style w:type="character" w:customStyle="1" w:styleId="TextChar">
    <w:name w:val="Text Char"/>
    <w:basedOn w:val="DefaultParagraphFont"/>
    <w:link w:val="Text"/>
    <w:rsid w:val="005955B2"/>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E93C4E"/>
    <w:rPr>
      <w:rFonts w:ascii="Arial" w:hAnsi="Arial"/>
      <w:i/>
      <w:sz w:val="22"/>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410B53"/>
    <w:pPr>
      <w:framePr w:wrap="around" w:vAnchor="text" w:hAnchor="text" w:y="1"/>
      <w:tabs>
        <w:tab w:val="right" w:pos="9072"/>
      </w:tabs>
      <w:spacing w:before="0"/>
      <w:ind w:right="-1"/>
    </w:pPr>
    <w:rPr>
      <w:rFonts w:ascii="Arial Bold" w:hAnsi="Arial Bold" w:cs="Arial"/>
      <w:b/>
      <w:sz w:val="17"/>
      <w:szCs w:val="17"/>
    </w:rPr>
  </w:style>
  <w:style w:type="character" w:customStyle="1" w:styleId="FooterChar">
    <w:name w:val="Footer Char"/>
    <w:link w:val="Footer"/>
    <w:rsid w:val="00410B53"/>
    <w:rPr>
      <w:rFonts w:ascii="Arial Bold" w:hAnsi="Arial Bold"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spacing w:before="0" w:line="240" w:lineRule="auto"/>
    </w:pPr>
  </w:style>
  <w:style w:type="paragraph" w:customStyle="1" w:styleId="Tabletext">
    <w:name w:val="Table text"/>
    <w:next w:val="Text"/>
    <w:rsid w:val="00C45556"/>
    <w:pPr>
      <w:spacing w:before="40" w:after="40"/>
    </w:pPr>
    <w:rPr>
      <w:rFonts w:ascii="Arial" w:hAnsi="Arial"/>
      <w:sz w:val="16"/>
      <w:lang w:val="en-AU"/>
    </w:rPr>
  </w:style>
  <w:style w:type="paragraph" w:customStyle="1" w:styleId="Tablehead1">
    <w:name w:val="Tablehead1"/>
    <w:rsid w:val="00E21F84"/>
    <w:pPr>
      <w:spacing w:before="80" w:after="80"/>
      <w:jc w:val="both"/>
    </w:pPr>
    <w:rPr>
      <w:rFonts w:ascii="Arial" w:eastAsiaTheme="minorHAnsi" w:hAnsi="Arial" w:cstheme="minorBidi"/>
      <w:b/>
      <w:bCs/>
      <w:sz w:val="17"/>
      <w:lang w:val="en-AU"/>
    </w:rPr>
  </w:style>
  <w:style w:type="paragraph" w:styleId="Quote">
    <w:name w:val="Quote"/>
    <w:basedOn w:val="Text"/>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C45556"/>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uiPriority w:val="99"/>
    <w:rsid w:val="009E231A"/>
    <w:pPr>
      <w:spacing w:line="260" w:lineRule="atLeast"/>
    </w:pPr>
    <w:rPr>
      <w:sz w:val="16"/>
    </w:rPr>
  </w:style>
  <w:style w:type="paragraph" w:customStyle="1" w:styleId="Figuretitle">
    <w:name w:val="Figuretitle"/>
    <w:basedOn w:val="Normal"/>
    <w:rsid w:val="007C7223"/>
    <w:pPr>
      <w:spacing w:before="360" w:after="80" w:line="240" w:lineRule="auto"/>
      <w:ind w:left="851" w:hanging="851"/>
    </w:pPr>
    <w:rPr>
      <w:rFonts w:ascii="Arial" w:hAnsi="Arial"/>
      <w:b/>
      <w:sz w:val="17"/>
    </w:rPr>
  </w:style>
  <w:style w:type="paragraph" w:customStyle="1" w:styleId="Dotpoint1">
    <w:name w:val="Dotpoint1"/>
    <w:rsid w:val="005C277E"/>
    <w:pPr>
      <w:numPr>
        <w:numId w:val="2"/>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basedOn w:val="Dotpoint1"/>
    <w:rsid w:val="00CE4291"/>
    <w:pPr>
      <w:numPr>
        <w:numId w:val="10"/>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rsid w:val="00995935"/>
    <w:pPr>
      <w:tabs>
        <w:tab w:val="left" w:pos="1418"/>
      </w:tabs>
      <w:spacing w:before="0" w:line="220" w:lineRule="exact"/>
      <w:ind w:left="284" w:hanging="284"/>
    </w:pPr>
    <w:rPr>
      <w:sz w:val="16"/>
    </w:rPr>
  </w:style>
  <w:style w:type="character" w:customStyle="1" w:styleId="FootnoteTextChar">
    <w:name w:val="Footnote Text Char"/>
    <w:basedOn w:val="DefaultParagraphFont"/>
    <w:link w:val="FootnoteText"/>
    <w:rsid w:val="00995935"/>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qFormat/>
    <w:rsid w:val="00621FAA"/>
    <w:pPr>
      <w:ind w:left="567"/>
    </w:pPr>
    <w:rPr>
      <w:rFonts w:cs="Arial"/>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3813E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character" w:styleId="PlaceholderText">
    <w:name w:val="Placeholder Text"/>
    <w:basedOn w:val="DefaultParagraphFont"/>
    <w:uiPriority w:val="99"/>
    <w:semiHidden/>
    <w:rsid w:val="00C5220C"/>
    <w:rPr>
      <w:color w:val="808080"/>
    </w:rPr>
  </w:style>
  <w:style w:type="paragraph" w:customStyle="1" w:styleId="Tabletitle">
    <w:name w:val="Tabletitle"/>
    <w:next w:val="Text"/>
    <w:rsid w:val="00C45556"/>
    <w:pPr>
      <w:spacing w:before="360" w:after="80"/>
      <w:ind w:left="851" w:hanging="851"/>
    </w:pPr>
    <w:rPr>
      <w:rFonts w:ascii="Arial" w:hAnsi="Arial"/>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Contents">
    <w:name w:val="Contents"/>
    <w:qFormat/>
    <w:rsid w:val="003813E4"/>
    <w:pPr>
      <w:spacing w:after="1200"/>
    </w:pPr>
    <w:rPr>
      <w:rFonts w:ascii="Arial" w:hAnsi="Arial" w:cs="Arial"/>
      <w:color w:val="000000"/>
      <w:kern w:val="28"/>
      <w:sz w:val="48"/>
      <w:szCs w:val="48"/>
      <w:lang w:val="en-AU"/>
    </w:rPr>
  </w:style>
  <w:style w:type="paragraph" w:customStyle="1" w:styleId="Abouttheresearchpubtitle">
    <w:name w:val="About the research pub title"/>
    <w:qFormat/>
    <w:rsid w:val="00E93C4E"/>
    <w:pPr>
      <w:spacing w:before="360"/>
    </w:pPr>
    <w:rPr>
      <w:rFonts w:ascii="Arial" w:hAnsi="Arial" w:cs="Tahoma"/>
      <w:i/>
      <w:sz w:val="28"/>
      <w:lang w:val="en-AU"/>
    </w:rPr>
  </w:style>
  <w:style w:type="paragraph" w:customStyle="1" w:styleId="Keymessages">
    <w:name w:val="Key messages"/>
    <w:uiPriority w:val="1"/>
    <w:qFormat/>
    <w:rsid w:val="00E93C4E"/>
    <w:pPr>
      <w:spacing w:before="360"/>
    </w:pPr>
    <w:rPr>
      <w:rFonts w:ascii="Arial" w:hAnsi="Arial" w:cs="Tahoma"/>
      <w:sz w:val="28"/>
      <w:lang w:val="en-AU"/>
    </w:rPr>
  </w:style>
  <w:style w:type="paragraph" w:customStyle="1" w:styleId="Organisation">
    <w:name w:val="Organisation"/>
    <w:basedOn w:val="Normal"/>
    <w:uiPriority w:val="1"/>
    <w:qFormat/>
    <w:rsid w:val="00E3162F"/>
    <w:pPr>
      <w:spacing w:before="120" w:line="240" w:lineRule="auto"/>
      <w:ind w:left="1701"/>
    </w:pPr>
    <w:rPr>
      <w:rFonts w:ascii="Tahoma" w:hAnsi="Tahoma" w:cs="Tahoma"/>
      <w:sz w:val="24"/>
    </w:rPr>
  </w:style>
  <w:style w:type="paragraph" w:customStyle="1" w:styleId="Heading20">
    <w:name w:val="Heading2"/>
    <w:basedOn w:val="Heading3"/>
    <w:rsid w:val="00251024"/>
    <w:pPr>
      <w:keepNext/>
      <w:spacing w:before="120" w:after="240"/>
    </w:pPr>
    <w:rPr>
      <w:rFonts w:ascii="Garamond" w:hAnsi="Garamond" w:cs="Times New Roman"/>
      <w:color w:val="auto"/>
      <w:sz w:val="32"/>
      <w:szCs w:val="32"/>
      <w:lang w:eastAsia="en-AU"/>
    </w:rPr>
  </w:style>
  <w:style w:type="paragraph" w:styleId="CommentText">
    <w:name w:val="annotation text"/>
    <w:basedOn w:val="Normal"/>
    <w:link w:val="CommentTextChar"/>
    <w:uiPriority w:val="99"/>
    <w:semiHidden/>
    <w:rsid w:val="00251024"/>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uiPriority w:val="99"/>
    <w:semiHidden/>
    <w:rsid w:val="00251024"/>
    <w:rPr>
      <w:lang w:val="en-AU" w:eastAsia="en-AU"/>
    </w:rPr>
  </w:style>
  <w:style w:type="paragraph" w:styleId="CommentSubject">
    <w:name w:val="annotation subject"/>
    <w:basedOn w:val="CommentText"/>
    <w:next w:val="CommentText"/>
    <w:link w:val="CommentSubjectChar"/>
    <w:uiPriority w:val="99"/>
    <w:semiHidden/>
    <w:rsid w:val="00251024"/>
    <w:rPr>
      <w:b/>
      <w:bCs/>
    </w:rPr>
  </w:style>
  <w:style w:type="character" w:customStyle="1" w:styleId="CommentSubjectChar">
    <w:name w:val="Comment Subject Char"/>
    <w:basedOn w:val="CommentTextChar"/>
    <w:link w:val="CommentSubject"/>
    <w:uiPriority w:val="99"/>
    <w:semiHidden/>
    <w:rsid w:val="00251024"/>
    <w:rPr>
      <w:b/>
      <w:bCs/>
      <w:lang w:val="en-AU" w:eastAsia="en-AU"/>
    </w:rPr>
  </w:style>
  <w:style w:type="character" w:styleId="FollowedHyperlink">
    <w:name w:val="FollowedHyperlink"/>
    <w:uiPriority w:val="99"/>
    <w:rsid w:val="00251024"/>
    <w:rPr>
      <w:color w:val="800080"/>
      <w:u w:val="single"/>
    </w:rPr>
  </w:style>
  <w:style w:type="character" w:styleId="Strong">
    <w:name w:val="Strong"/>
    <w:uiPriority w:val="22"/>
    <w:semiHidden/>
    <w:qFormat/>
    <w:rsid w:val="00251024"/>
    <w:rPr>
      <w:b/>
      <w:bCs/>
    </w:rPr>
  </w:style>
  <w:style w:type="paragraph" w:styleId="Title">
    <w:name w:val="Title"/>
    <w:basedOn w:val="Normal"/>
    <w:link w:val="TitleChar"/>
    <w:uiPriority w:val="10"/>
    <w:semiHidden/>
    <w:qFormat/>
    <w:rsid w:val="0025102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51024"/>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251024"/>
    <w:rPr>
      <w:sz w:val="22"/>
      <w:lang w:val="en-AU" w:eastAsia="en-AU"/>
    </w:rPr>
  </w:style>
  <w:style w:type="paragraph" w:customStyle="1" w:styleId="TableFont">
    <w:name w:val="TableFont"/>
    <w:basedOn w:val="Normal"/>
    <w:link w:val="TableFontChar"/>
    <w:uiPriority w:val="99"/>
    <w:rsid w:val="00251024"/>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9"/>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lang w:eastAsia="en-AU"/>
    </w:rPr>
  </w:style>
  <w:style w:type="paragraph" w:customStyle="1" w:styleId="KeyPoints">
    <w:name w:val="KeyPoints"/>
    <w:basedOn w:val="Normal"/>
    <w:uiPriority w:val="1"/>
    <w:qFormat/>
    <w:rsid w:val="001728A6"/>
    <w:pPr>
      <w:numPr>
        <w:numId w:val="22"/>
      </w:numPr>
      <w:pBdr>
        <w:left w:val="single" w:sz="8" w:space="4" w:color="auto"/>
      </w:pBdr>
      <w:spacing w:before="0" w:line="300" w:lineRule="exact"/>
    </w:pPr>
    <w:rPr>
      <w:rFonts w:cs="Arial"/>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basedOn w:val="DefaultParagraphFont"/>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A83136"/>
    <w:pPr>
      <w:spacing w:after="120"/>
    </w:pPr>
    <w:rPr>
      <w:sz w:val="16"/>
      <w:szCs w:val="16"/>
    </w:rPr>
  </w:style>
  <w:style w:type="character" w:customStyle="1" w:styleId="BodyText3Char">
    <w:name w:val="Body Text 3 Char"/>
    <w:basedOn w:val="DefaultParagraphFont"/>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rPr>
  </w:style>
  <w:style w:type="character" w:customStyle="1" w:styleId="BodyTextFirstIndentChar">
    <w:name w:val="Body Text First Indent Char"/>
    <w:basedOn w:val="DefaultParagraphFont"/>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style>
  <w:style w:type="character" w:customStyle="1" w:styleId="BodyTextFirstIndent2Char">
    <w:name w:val="Body Text First Indent 2 Char"/>
    <w:basedOn w:val="DefaultParagraphFont"/>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style>
  <w:style w:type="character" w:customStyle="1" w:styleId="BodyTextIndent2Char">
    <w:name w:val="Body Text Indent 2 Char"/>
    <w:basedOn w:val="DefaultParagraphFont"/>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spacing w:before="0" w:line="240" w:lineRule="auto"/>
      <w:ind w:left="4252"/>
    </w:pPr>
  </w:style>
  <w:style w:type="character" w:customStyle="1" w:styleId="ClosingChar">
    <w:name w:val="Closing Char"/>
    <w:basedOn w:val="DefaultParagraphFont"/>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style>
  <w:style w:type="character" w:customStyle="1" w:styleId="DateChar">
    <w:name w:val="Date Char"/>
    <w:basedOn w:val="DefaultParagraphFont"/>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pPr>
      <w:spacing w:before="0" w:line="240" w:lineRule="auto"/>
    </w:pPr>
  </w:style>
  <w:style w:type="character" w:customStyle="1" w:styleId="E-mailSignatureChar">
    <w:name w:val="E-mail Signature Char"/>
    <w:basedOn w:val="DefaultParagraphFont"/>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pPr>
      <w:spacing w:before="0" w:line="240" w:lineRule="auto"/>
    </w:pPr>
    <w:rPr>
      <w:sz w:val="20"/>
    </w:rPr>
  </w:style>
  <w:style w:type="character" w:customStyle="1" w:styleId="EndnoteTextChar">
    <w:name w:val="Endnote Text Char"/>
    <w:basedOn w:val="DefaultParagraphFont"/>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83136"/>
    <w:pPr>
      <w:spacing w:before="0" w:line="240" w:lineRule="auto"/>
    </w:pPr>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A83136"/>
    <w:rPr>
      <w:rFonts w:asciiTheme="majorHAnsi" w:eastAsiaTheme="majorEastAsia" w:hAnsiTheme="majorHAnsi" w:cstheme="majorBidi"/>
      <w:i/>
      <w:iCs/>
      <w:color w:val="404040" w:themeColor="text1" w:themeTint="BF"/>
      <w:lang w:val="en-AU"/>
    </w:rPr>
  </w:style>
  <w:style w:type="paragraph" w:styleId="HTMLAddress">
    <w:name w:val="HTML Address"/>
    <w:basedOn w:val="Normal"/>
    <w:link w:val="HTMLAddressChar"/>
    <w:uiPriority w:val="99"/>
    <w:semiHidden/>
    <w:rsid w:val="00A83136"/>
    <w:pPr>
      <w:spacing w:before="0" w:line="240" w:lineRule="auto"/>
    </w:pPr>
    <w:rPr>
      <w:i/>
      <w:iCs/>
    </w:rPr>
  </w:style>
  <w:style w:type="character" w:customStyle="1" w:styleId="HTMLAddressChar">
    <w:name w:val="HTML Address Char"/>
    <w:basedOn w:val="DefaultParagraphFont"/>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pPr>
      <w:spacing w:before="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spacing w:before="0" w:line="240" w:lineRule="auto"/>
      <w:ind w:left="190" w:hanging="190"/>
    </w:pPr>
  </w:style>
  <w:style w:type="paragraph" w:styleId="Index2">
    <w:name w:val="index 2"/>
    <w:basedOn w:val="Normal"/>
    <w:next w:val="Normal"/>
    <w:autoRedefine/>
    <w:uiPriority w:val="99"/>
    <w:semiHidden/>
    <w:rsid w:val="00A83136"/>
    <w:pPr>
      <w:spacing w:before="0" w:line="240" w:lineRule="auto"/>
      <w:ind w:left="380" w:hanging="190"/>
    </w:pPr>
  </w:style>
  <w:style w:type="paragraph" w:styleId="Index3">
    <w:name w:val="index 3"/>
    <w:basedOn w:val="Normal"/>
    <w:next w:val="Normal"/>
    <w:autoRedefine/>
    <w:uiPriority w:val="99"/>
    <w:semiHidden/>
    <w:rsid w:val="00A83136"/>
    <w:pPr>
      <w:spacing w:before="0" w:line="240" w:lineRule="auto"/>
      <w:ind w:left="570" w:hanging="190"/>
    </w:pPr>
  </w:style>
  <w:style w:type="paragraph" w:styleId="Index4">
    <w:name w:val="index 4"/>
    <w:basedOn w:val="Normal"/>
    <w:next w:val="Normal"/>
    <w:autoRedefine/>
    <w:uiPriority w:val="99"/>
    <w:semiHidden/>
    <w:rsid w:val="00A83136"/>
    <w:pPr>
      <w:spacing w:before="0" w:line="240" w:lineRule="auto"/>
      <w:ind w:left="760" w:hanging="190"/>
    </w:pPr>
  </w:style>
  <w:style w:type="paragraph" w:styleId="Index5">
    <w:name w:val="index 5"/>
    <w:basedOn w:val="Normal"/>
    <w:next w:val="Normal"/>
    <w:autoRedefine/>
    <w:uiPriority w:val="99"/>
    <w:semiHidden/>
    <w:rsid w:val="00A83136"/>
    <w:pPr>
      <w:spacing w:before="0" w:line="240" w:lineRule="auto"/>
      <w:ind w:left="950" w:hanging="190"/>
    </w:pPr>
  </w:style>
  <w:style w:type="paragraph" w:styleId="Index6">
    <w:name w:val="index 6"/>
    <w:basedOn w:val="Normal"/>
    <w:next w:val="Normal"/>
    <w:autoRedefine/>
    <w:uiPriority w:val="99"/>
    <w:semiHidden/>
    <w:rsid w:val="00A83136"/>
    <w:pPr>
      <w:spacing w:before="0" w:line="240" w:lineRule="auto"/>
      <w:ind w:left="1140" w:hanging="190"/>
    </w:pPr>
  </w:style>
  <w:style w:type="paragraph" w:styleId="Index7">
    <w:name w:val="index 7"/>
    <w:basedOn w:val="Normal"/>
    <w:next w:val="Normal"/>
    <w:autoRedefine/>
    <w:uiPriority w:val="99"/>
    <w:semiHidden/>
    <w:rsid w:val="00A83136"/>
    <w:pPr>
      <w:spacing w:before="0" w:line="240" w:lineRule="auto"/>
      <w:ind w:left="1330" w:hanging="190"/>
    </w:pPr>
  </w:style>
  <w:style w:type="paragraph" w:styleId="Index8">
    <w:name w:val="index 8"/>
    <w:basedOn w:val="Normal"/>
    <w:next w:val="Normal"/>
    <w:autoRedefine/>
    <w:uiPriority w:val="99"/>
    <w:semiHidden/>
    <w:rsid w:val="00A83136"/>
    <w:pPr>
      <w:spacing w:before="0" w:line="240" w:lineRule="auto"/>
      <w:ind w:left="1520" w:hanging="190"/>
    </w:pPr>
  </w:style>
  <w:style w:type="paragraph" w:styleId="Index9">
    <w:name w:val="index 9"/>
    <w:basedOn w:val="Normal"/>
    <w:next w:val="Normal"/>
    <w:autoRedefine/>
    <w:uiPriority w:val="99"/>
    <w:semiHidden/>
    <w:rsid w:val="00A83136"/>
    <w:pPr>
      <w:spacing w:before="0" w:line="240" w:lineRule="auto"/>
      <w:ind w:left="1710" w:hanging="190"/>
    </w:pPr>
  </w:style>
  <w:style w:type="paragraph" w:styleId="IndexHeading">
    <w:name w:val="index heading"/>
    <w:basedOn w:val="Normal"/>
    <w:next w:val="Index1"/>
    <w:uiPriority w:val="99"/>
    <w:semiHidden/>
    <w:rsid w:val="00A83136"/>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A831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A83136"/>
    <w:rPr>
      <w:rFonts w:ascii="Trebuchet MS" w:hAnsi="Trebuchet MS"/>
      <w:b/>
      <w:bCs/>
      <w:i/>
      <w:iCs/>
      <w:color w:val="4F81BD" w:themeColor="accent1"/>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11"/>
      </w:numPr>
      <w:contextualSpacing/>
    </w:pPr>
  </w:style>
  <w:style w:type="paragraph" w:styleId="ListBullet3">
    <w:name w:val="List Bullet 3"/>
    <w:basedOn w:val="Normal"/>
    <w:uiPriority w:val="99"/>
    <w:semiHidden/>
    <w:rsid w:val="00A83136"/>
    <w:pPr>
      <w:numPr>
        <w:numId w:val="12"/>
      </w:numPr>
      <w:contextualSpacing/>
    </w:pPr>
  </w:style>
  <w:style w:type="paragraph" w:styleId="ListBullet4">
    <w:name w:val="List Bullet 4"/>
    <w:basedOn w:val="Normal"/>
    <w:uiPriority w:val="99"/>
    <w:semiHidden/>
    <w:rsid w:val="00A83136"/>
    <w:pPr>
      <w:numPr>
        <w:numId w:val="13"/>
      </w:numPr>
      <w:contextualSpacing/>
    </w:pPr>
  </w:style>
  <w:style w:type="paragraph" w:styleId="ListBullet5">
    <w:name w:val="List Bullet 5"/>
    <w:basedOn w:val="Normal"/>
    <w:uiPriority w:val="99"/>
    <w:semiHidden/>
    <w:rsid w:val="00A83136"/>
    <w:pPr>
      <w:numPr>
        <w:numId w:val="14"/>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15"/>
      </w:numPr>
      <w:contextualSpacing/>
    </w:pPr>
  </w:style>
  <w:style w:type="paragraph" w:styleId="ListNumber2">
    <w:name w:val="List Number 2"/>
    <w:basedOn w:val="Normal"/>
    <w:uiPriority w:val="99"/>
    <w:semiHidden/>
    <w:rsid w:val="00A83136"/>
    <w:pPr>
      <w:numPr>
        <w:numId w:val="16"/>
      </w:numPr>
      <w:contextualSpacing/>
    </w:pPr>
  </w:style>
  <w:style w:type="paragraph" w:styleId="ListNumber3">
    <w:name w:val="List Number 3"/>
    <w:basedOn w:val="Normal"/>
    <w:uiPriority w:val="99"/>
    <w:semiHidden/>
    <w:rsid w:val="00A83136"/>
    <w:pPr>
      <w:numPr>
        <w:numId w:val="17"/>
      </w:numPr>
      <w:contextualSpacing/>
    </w:pPr>
  </w:style>
  <w:style w:type="paragraph" w:styleId="ListNumber4">
    <w:name w:val="List Number 4"/>
    <w:basedOn w:val="Normal"/>
    <w:uiPriority w:val="99"/>
    <w:semiHidden/>
    <w:rsid w:val="00A83136"/>
    <w:pPr>
      <w:numPr>
        <w:numId w:val="18"/>
      </w:numPr>
      <w:contextualSpacing/>
    </w:pPr>
  </w:style>
  <w:style w:type="paragraph" w:styleId="ListNumber5">
    <w:name w:val="List Number 5"/>
    <w:basedOn w:val="Normal"/>
    <w:uiPriority w:val="99"/>
    <w:semiHidden/>
    <w:rsid w:val="00A83136"/>
    <w:pPr>
      <w:numPr>
        <w:numId w:val="19"/>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acroTextChar">
    <w:name w:val="Macro Text Char"/>
    <w:basedOn w:val="DefaultParagraphFont"/>
    <w:link w:val="MacroText"/>
    <w:uiPriority w:val="99"/>
    <w:semiHidden/>
    <w:rsid w:val="00A83136"/>
    <w:rPr>
      <w:rFonts w:ascii="Consolas" w:hAnsi="Consolas" w:cs="Consolas"/>
      <w:lang w:val="en-AU"/>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83136"/>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qFormat/>
    <w:rsid w:val="00A83136"/>
    <w:rPr>
      <w:rFonts w:ascii="Trebuchet MS" w:hAnsi="Trebuchet MS"/>
      <w:sz w:val="19"/>
      <w:lang w:val="en-AU"/>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pPr>
      <w:spacing w:before="0" w:line="240" w:lineRule="auto"/>
    </w:pPr>
  </w:style>
  <w:style w:type="character" w:customStyle="1" w:styleId="NoteHeadingChar">
    <w:name w:val="Note Heading Char"/>
    <w:basedOn w:val="DefaultParagraphFont"/>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style>
  <w:style w:type="character" w:customStyle="1" w:styleId="SalutationChar">
    <w:name w:val="Salutation Char"/>
    <w:basedOn w:val="DefaultParagraphFont"/>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spacing w:before="0" w:line="240" w:lineRule="auto"/>
      <w:ind w:left="4252"/>
    </w:pPr>
  </w:style>
  <w:style w:type="character" w:customStyle="1" w:styleId="SignatureChar">
    <w:name w:val="Signature Char"/>
    <w:basedOn w:val="DefaultParagraphFont"/>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semiHidden/>
    <w:qFormat/>
    <w:rsid w:val="00A83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A83136"/>
    <w:rPr>
      <w:rFonts w:asciiTheme="majorHAnsi" w:eastAsiaTheme="majorEastAsia" w:hAnsiTheme="majorHAnsi" w:cstheme="majorBidi"/>
      <w:i/>
      <w:iCs/>
      <w:color w:val="4F81BD" w:themeColor="accent1"/>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ED0C08"/>
    <w:pPr>
      <w:numPr>
        <w:numId w:val="20"/>
      </w:numPr>
      <w:spacing w:before="80" w:line="300" w:lineRule="exact"/>
    </w:pPr>
    <w:rPr>
      <w:rFonts w:ascii="Trebuchet MS" w:hAnsi="Trebuchet MS"/>
      <w:sz w:val="19"/>
      <w:lang w:val="en-AU" w:eastAsia="en-AU"/>
    </w:rPr>
  </w:style>
  <w:style w:type="character" w:styleId="UnresolvedMention">
    <w:name w:val="Unresolved Mention"/>
    <w:basedOn w:val="DefaultParagraphFont"/>
    <w:uiPriority w:val="99"/>
    <w:semiHidden/>
    <w:unhideWhenUsed/>
    <w:rsid w:val="00F01194"/>
    <w:rPr>
      <w:color w:val="808080"/>
      <w:shd w:val="clear" w:color="auto" w:fill="E6E6E6"/>
    </w:rPr>
  </w:style>
  <w:style w:type="paragraph" w:styleId="ListBullet">
    <w:name w:val="List Bullet"/>
    <w:basedOn w:val="Normal"/>
    <w:semiHidden/>
    <w:rsid w:val="00F371F7"/>
    <w:pPr>
      <w:numPr>
        <w:numId w:val="24"/>
      </w:numPr>
      <w:contextualSpacing/>
    </w:pPr>
  </w:style>
  <w:style w:type="character" w:styleId="FootnoteReference">
    <w:name w:val="footnote reference"/>
    <w:basedOn w:val="DefaultParagraphFont"/>
    <w:rsid w:val="00F371F7"/>
    <w:rPr>
      <w:vertAlign w:val="superscript"/>
    </w:rPr>
  </w:style>
  <w:style w:type="table" w:customStyle="1" w:styleId="NCVERTable">
    <w:name w:val="NCVER Table"/>
    <w:basedOn w:val="TableNormal"/>
    <w:uiPriority w:val="99"/>
    <w:rsid w:val="008F59D8"/>
    <w:pPr>
      <w:jc w:val="both"/>
    </w:pPr>
    <w:rPr>
      <w:rFonts w:ascii="Arial" w:eastAsiaTheme="minorHAnsi" w:hAnsi="Arial" w:cstheme="minorBidi"/>
      <w:sz w:val="17"/>
    </w:rPr>
    <w:tblPr>
      <w:tblStyleRowBandSize w:val="1"/>
      <w:tblBorders>
        <w:top w:val="single" w:sz="4" w:space="0" w:color="auto"/>
        <w:bottom w:val="single" w:sz="4" w:space="0" w:color="auto"/>
      </w:tblBorders>
      <w:tblCellMar>
        <w:top w:w="57" w:type="dxa"/>
        <w:bottom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nil"/>
          <w:tl2br w:val="nil"/>
          <w:tr2bl w:val="nil"/>
        </w:tcBorders>
      </w:tcPr>
    </w:tblStylePr>
  </w:style>
  <w:style w:type="table" w:styleId="ListTable3">
    <w:name w:val="List Table 3"/>
    <w:basedOn w:val="TableNormal"/>
    <w:uiPriority w:val="48"/>
    <w:rsid w:val="00F371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ption">
    <w:name w:val="caption"/>
    <w:basedOn w:val="Normal"/>
    <w:next w:val="Normal"/>
    <w:uiPriority w:val="35"/>
    <w:unhideWhenUsed/>
    <w:qFormat/>
    <w:rsid w:val="00F371F7"/>
    <w:pPr>
      <w:spacing w:before="0" w:after="200" w:line="240" w:lineRule="auto"/>
    </w:pPr>
    <w:rPr>
      <w:i/>
      <w:iCs/>
      <w:color w:val="1F497D" w:themeColor="text2"/>
      <w:sz w:val="18"/>
      <w:szCs w:val="18"/>
    </w:rPr>
  </w:style>
  <w:style w:type="table" w:styleId="TableGridLight">
    <w:name w:val="Grid Table Light"/>
    <w:basedOn w:val="TableNormal"/>
    <w:uiPriority w:val="40"/>
    <w:rsid w:val="00F371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F371F7"/>
    <w:pPr>
      <w:ind w:left="720"/>
      <w:contextualSpacing/>
    </w:pPr>
  </w:style>
  <w:style w:type="character" w:customStyle="1" w:styleId="ListParagraphChar">
    <w:name w:val="List Paragraph Char"/>
    <w:basedOn w:val="DefaultParagraphFont"/>
    <w:link w:val="ListParagraph"/>
    <w:uiPriority w:val="34"/>
    <w:rsid w:val="00063B75"/>
    <w:rPr>
      <w:rFonts w:ascii="Trebuchet MS" w:hAnsi="Trebuchet MS"/>
      <w:sz w:val="19"/>
      <w:lang w:val="en-AU"/>
    </w:rPr>
  </w:style>
  <w:style w:type="character" w:customStyle="1" w:styleId="ui-provider">
    <w:name w:val="ui-provider"/>
    <w:basedOn w:val="DefaultParagraphFont"/>
    <w:rsid w:val="00180E6D"/>
  </w:style>
  <w:style w:type="character" w:styleId="Mention">
    <w:name w:val="Mention"/>
    <w:basedOn w:val="DefaultParagraphFont"/>
    <w:uiPriority w:val="99"/>
    <w:unhideWhenUsed/>
    <w:rsid w:val="00B05F84"/>
    <w:rPr>
      <w:color w:val="2B579A"/>
      <w:shd w:val="clear" w:color="auto" w:fill="E1DFDD"/>
    </w:rPr>
  </w:style>
  <w:style w:type="paragraph" w:customStyle="1" w:styleId="pf0">
    <w:name w:val="pf0"/>
    <w:basedOn w:val="Normal"/>
    <w:rsid w:val="00B05F84"/>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B05F84"/>
    <w:rPr>
      <w:rFonts w:ascii="Segoe UI" w:hAnsi="Segoe UI" w:cs="Segoe UI" w:hint="default"/>
      <w:sz w:val="18"/>
      <w:szCs w:val="18"/>
    </w:rPr>
  </w:style>
  <w:style w:type="paragraph" w:customStyle="1" w:styleId="NoParagraphStyle">
    <w:name w:val="[No Paragraph Style]"/>
    <w:rsid w:val="00C109CB"/>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550385381">
      <w:bodyDiv w:val="1"/>
      <w:marLeft w:val="0"/>
      <w:marRight w:val="0"/>
      <w:marTop w:val="0"/>
      <w:marBottom w:val="0"/>
      <w:divBdr>
        <w:top w:val="none" w:sz="0" w:space="0" w:color="auto"/>
        <w:left w:val="none" w:sz="0" w:space="0" w:color="auto"/>
        <w:bottom w:val="none" w:sz="0" w:space="0" w:color="auto"/>
        <w:right w:val="none" w:sz="0" w:space="0" w:color="auto"/>
      </w:divBdr>
    </w:div>
    <w:div w:id="846409016">
      <w:bodyDiv w:val="1"/>
      <w:marLeft w:val="0"/>
      <w:marRight w:val="0"/>
      <w:marTop w:val="0"/>
      <w:marBottom w:val="0"/>
      <w:divBdr>
        <w:top w:val="none" w:sz="0" w:space="0" w:color="auto"/>
        <w:left w:val="none" w:sz="0" w:space="0" w:color="auto"/>
        <w:bottom w:val="none" w:sz="0" w:space="0" w:color="auto"/>
        <w:right w:val="none" w:sz="0" w:space="0" w:color="auto"/>
      </w:divBdr>
    </w:div>
    <w:div w:id="868177851">
      <w:bodyDiv w:val="1"/>
      <w:marLeft w:val="0"/>
      <w:marRight w:val="0"/>
      <w:marTop w:val="0"/>
      <w:marBottom w:val="0"/>
      <w:divBdr>
        <w:top w:val="none" w:sz="0" w:space="0" w:color="auto"/>
        <w:left w:val="none" w:sz="0" w:space="0" w:color="auto"/>
        <w:bottom w:val="none" w:sz="0" w:space="0" w:color="auto"/>
        <w:right w:val="none" w:sz="0" w:space="0" w:color="auto"/>
      </w:divBdr>
    </w:div>
    <w:div w:id="884636159">
      <w:bodyDiv w:val="1"/>
      <w:marLeft w:val="0"/>
      <w:marRight w:val="0"/>
      <w:marTop w:val="0"/>
      <w:marBottom w:val="0"/>
      <w:divBdr>
        <w:top w:val="none" w:sz="0" w:space="0" w:color="auto"/>
        <w:left w:val="none" w:sz="0" w:space="0" w:color="auto"/>
        <w:bottom w:val="none" w:sz="0" w:space="0" w:color="auto"/>
        <w:right w:val="none" w:sz="0" w:space="0" w:color="auto"/>
      </w:divBdr>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898636974">
      <w:bodyDiv w:val="1"/>
      <w:marLeft w:val="0"/>
      <w:marRight w:val="0"/>
      <w:marTop w:val="0"/>
      <w:marBottom w:val="0"/>
      <w:divBdr>
        <w:top w:val="none" w:sz="0" w:space="0" w:color="auto"/>
        <w:left w:val="none" w:sz="0" w:space="0" w:color="auto"/>
        <w:bottom w:val="none" w:sz="0" w:space="0" w:color="auto"/>
        <w:right w:val="none" w:sz="0" w:space="0" w:color="auto"/>
      </w:divBdr>
    </w:div>
    <w:div w:id="1091390474">
      <w:bodyDiv w:val="1"/>
      <w:marLeft w:val="0"/>
      <w:marRight w:val="0"/>
      <w:marTop w:val="0"/>
      <w:marBottom w:val="0"/>
      <w:divBdr>
        <w:top w:val="none" w:sz="0" w:space="0" w:color="auto"/>
        <w:left w:val="none" w:sz="0" w:space="0" w:color="auto"/>
        <w:bottom w:val="none" w:sz="0" w:space="0" w:color="auto"/>
        <w:right w:val="none" w:sz="0" w:space="0" w:color="auto"/>
      </w:divBdr>
    </w:div>
    <w:div w:id="1099526840">
      <w:bodyDiv w:val="1"/>
      <w:marLeft w:val="0"/>
      <w:marRight w:val="0"/>
      <w:marTop w:val="0"/>
      <w:marBottom w:val="0"/>
      <w:divBdr>
        <w:top w:val="none" w:sz="0" w:space="0" w:color="auto"/>
        <w:left w:val="none" w:sz="0" w:space="0" w:color="auto"/>
        <w:bottom w:val="none" w:sz="0" w:space="0" w:color="auto"/>
        <w:right w:val="none" w:sz="0" w:space="0" w:color="auto"/>
      </w:divBdr>
    </w:div>
    <w:div w:id="1144002859">
      <w:bodyDiv w:val="1"/>
      <w:marLeft w:val="0"/>
      <w:marRight w:val="0"/>
      <w:marTop w:val="0"/>
      <w:marBottom w:val="0"/>
      <w:divBdr>
        <w:top w:val="none" w:sz="0" w:space="0" w:color="auto"/>
        <w:left w:val="none" w:sz="0" w:space="0" w:color="auto"/>
        <w:bottom w:val="none" w:sz="0" w:space="0" w:color="auto"/>
        <w:right w:val="none" w:sz="0" w:space="0" w:color="auto"/>
      </w:divBdr>
    </w:div>
    <w:div w:id="1206604596">
      <w:bodyDiv w:val="1"/>
      <w:marLeft w:val="0"/>
      <w:marRight w:val="0"/>
      <w:marTop w:val="0"/>
      <w:marBottom w:val="0"/>
      <w:divBdr>
        <w:top w:val="none" w:sz="0" w:space="0" w:color="auto"/>
        <w:left w:val="none" w:sz="0" w:space="0" w:color="auto"/>
        <w:bottom w:val="none" w:sz="0" w:space="0" w:color="auto"/>
        <w:right w:val="none" w:sz="0" w:space="0" w:color="auto"/>
      </w:divBdr>
    </w:div>
    <w:div w:id="1234119385">
      <w:bodyDiv w:val="1"/>
      <w:marLeft w:val="0"/>
      <w:marRight w:val="0"/>
      <w:marTop w:val="0"/>
      <w:marBottom w:val="0"/>
      <w:divBdr>
        <w:top w:val="none" w:sz="0" w:space="0" w:color="auto"/>
        <w:left w:val="none" w:sz="0" w:space="0" w:color="auto"/>
        <w:bottom w:val="none" w:sz="0" w:space="0" w:color="auto"/>
        <w:right w:val="none" w:sz="0" w:space="0" w:color="auto"/>
      </w:divBdr>
    </w:div>
    <w:div w:id="1236010493">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415711484">
      <w:bodyDiv w:val="1"/>
      <w:marLeft w:val="0"/>
      <w:marRight w:val="0"/>
      <w:marTop w:val="0"/>
      <w:marBottom w:val="0"/>
      <w:divBdr>
        <w:top w:val="none" w:sz="0" w:space="0" w:color="auto"/>
        <w:left w:val="none" w:sz="0" w:space="0" w:color="auto"/>
        <w:bottom w:val="none" w:sz="0" w:space="0" w:color="auto"/>
        <w:right w:val="none" w:sz="0" w:space="0" w:color="auto"/>
      </w:divBdr>
    </w:div>
    <w:div w:id="1617788266">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19993808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5.wmf"/><Relationship Id="rId42" Type="http://schemas.openxmlformats.org/officeDocument/2006/relationships/footer" Target="footer6.xml"/><Relationship Id="rId47" Type="http://schemas.openxmlformats.org/officeDocument/2006/relationships/image" Target="media/image12.emf"/><Relationship Id="rId63" Type="http://schemas.openxmlformats.org/officeDocument/2006/relationships/hyperlink" Target="mailto:ncver@ncver.edu.a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acebook.com/ncver.au" TargetMode="External"/><Relationship Id="rId11" Type="http://schemas.openxmlformats.org/officeDocument/2006/relationships/image" Target="media/image2.jpeg"/><Relationship Id="rId24" Type="http://schemas.openxmlformats.org/officeDocument/2006/relationships/image" Target="media/image6.emf"/><Relationship Id="rId32" Type="http://schemas.openxmlformats.org/officeDocument/2006/relationships/hyperlink" Target="https://www.lsay.edu.au" TargetMode="External"/><Relationship Id="rId37" Type="http://schemas.openxmlformats.org/officeDocument/2006/relationships/image" Target="media/image17.emf"/><Relationship Id="rId40" Type="http://schemas.openxmlformats.org/officeDocument/2006/relationships/footer" Target="footer5.xml"/><Relationship Id="rId45" Type="http://schemas.openxmlformats.org/officeDocument/2006/relationships/image" Target="media/image10.emf"/><Relationship Id="rId53" Type="http://schemas.openxmlformats.org/officeDocument/2006/relationships/footer" Target="footer9.xml"/><Relationship Id="rId58" Type="http://schemas.openxmlformats.org/officeDocument/2006/relationships/hyperlink" Target="mailto:ncver@ncver.edu.au" TargetMode="External"/><Relationship Id="rId66" Type="http://schemas.openxmlformats.org/officeDocument/2006/relationships/hyperlink" Target="https://www.linkedin.com/company/ncver" TargetMode="External"/><Relationship Id="rId5" Type="http://schemas.openxmlformats.org/officeDocument/2006/relationships/numbering" Target="numbering.xml"/><Relationship Id="rId61" Type="http://schemas.openxmlformats.org/officeDocument/2006/relationships/hyperlink" Target="https://www.linkedin.com/company/ncver" TargetMode="External"/><Relationship Id="rId1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hyperlink" Target="mailto:ncver@ncver.edu.au" TargetMode="External"/><Relationship Id="rId27" Type="http://schemas.openxmlformats.org/officeDocument/2006/relationships/hyperlink" Target="https://www.linkedin.com/company/ncver" TargetMode="External"/><Relationship Id="rId30" Type="http://schemas.openxmlformats.org/officeDocument/2006/relationships/image" Target="media/image50.wmf"/><Relationship Id="rId35" Type="http://schemas.openxmlformats.org/officeDocument/2006/relationships/image" Target="media/image70.emf"/><Relationship Id="rId43" Type="http://schemas.openxmlformats.org/officeDocument/2006/relationships/footer" Target="footer7.xml"/><Relationship Id="rId48" Type="http://schemas.openxmlformats.org/officeDocument/2006/relationships/image" Target="media/image13.emf"/><Relationship Id="rId56" Type="http://schemas.openxmlformats.org/officeDocument/2006/relationships/image" Target="media/image16.emf"/><Relationship Id="rId64" Type="http://schemas.openxmlformats.org/officeDocument/2006/relationships/hyperlink" Target="http://www.lsay.edu.au"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x.com/ncver" TargetMode="External"/><Relationship Id="rId33" Type="http://schemas.openxmlformats.org/officeDocument/2006/relationships/image" Target="media/image60.emf"/><Relationship Id="rId38" Type="http://schemas.openxmlformats.org/officeDocument/2006/relationships/hyperlink" Target="https://www.facebook.com/ncver.au" TargetMode="External"/><Relationship Id="rId46" Type="http://schemas.openxmlformats.org/officeDocument/2006/relationships/image" Target="media/image11.emf"/><Relationship Id="rId59" Type="http://schemas.openxmlformats.org/officeDocument/2006/relationships/hyperlink" Target="http://www.lsay.edu.au" TargetMode="External"/><Relationship Id="rId67" Type="http://schemas.openxmlformats.org/officeDocument/2006/relationships/image" Target="media/image180.emf"/><Relationship Id="rId20" Type="http://schemas.openxmlformats.org/officeDocument/2006/relationships/hyperlink" Target="http://www.voced.edu.au/" TargetMode="External"/><Relationship Id="rId41" Type="http://schemas.openxmlformats.org/officeDocument/2006/relationships/header" Target="header4.xml"/><Relationship Id="rId54" Type="http://schemas.openxmlformats.org/officeDocument/2006/relationships/hyperlink" Target="https://onlinelibrary.wiley.com/doi/abs/10.1111/j.1475-4932.2009.00570.x" TargetMode="External"/><Relationship Id="rId62"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lsay.edu.au" TargetMode="External"/><Relationship Id="rId28" Type="http://schemas.openxmlformats.org/officeDocument/2006/relationships/image" Target="media/image1.emf"/><Relationship Id="rId36" Type="http://schemas.openxmlformats.org/officeDocument/2006/relationships/hyperlink" Target="https://www.linkedin.com/company/ncver" TargetMode="External"/><Relationship Id="rId49" Type="http://schemas.openxmlformats.org/officeDocument/2006/relationships/image" Target="media/image14.emf"/><Relationship Id="rId57" Type="http://schemas.openxmlformats.org/officeDocument/2006/relationships/image" Target="media/image17.wmf"/><Relationship Id="rId10" Type="http://schemas.openxmlformats.org/officeDocument/2006/relationships/endnotes" Target="endnotes.xml"/><Relationship Id="rId31" Type="http://schemas.openxmlformats.org/officeDocument/2006/relationships/hyperlink" Target="mailto:ncver@ncver.edu.au" TargetMode="External"/><Relationship Id="rId44" Type="http://schemas.openxmlformats.org/officeDocument/2006/relationships/image" Target="media/image9.emf"/><Relationship Id="rId52" Type="http://schemas.openxmlformats.org/officeDocument/2006/relationships/footer" Target="footer8.xml"/><Relationship Id="rId60" Type="http://schemas.openxmlformats.org/officeDocument/2006/relationships/hyperlink" Target="https://x.com/ncver" TargetMode="External"/><Relationship Id="rId65" Type="http://schemas.openxmlformats.org/officeDocument/2006/relationships/hyperlink" Target="https://x.com/ncv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g"/><Relationship Id="rId39" Type="http://schemas.openxmlformats.org/officeDocument/2006/relationships/footer" Target="footer4.xml"/><Relationship Id="rId34" Type="http://schemas.openxmlformats.org/officeDocument/2006/relationships/hyperlink" Target="https://x.com/ncver" TargetMode="External"/><Relationship Id="rId50" Type="http://schemas.openxmlformats.org/officeDocument/2006/relationships/image" Target="media/image15.emf"/><Relationship Id="rId55" Type="http://schemas.openxmlformats.org/officeDocument/2006/relationships/hyperlink" Target="https://doi.org/10.1080/02680939.2018.1488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tac.edu.au/wp-content/uploads/2020/06/ATARs_OP_bands.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8.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7c3ae3-b2ba-47df-bb0b-e8980dfaed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EAD187A8FDD47B7E7C2E6386E0A15" ma:contentTypeVersion="13" ma:contentTypeDescription="Create a new document." ma:contentTypeScope="" ma:versionID="a52bb467ad05cebb8e74fb3dcb1e88bc">
  <xsd:schema xmlns:xsd="http://www.w3.org/2001/XMLSchema" xmlns:xs="http://www.w3.org/2001/XMLSchema" xmlns:p="http://schemas.microsoft.com/office/2006/metadata/properties" xmlns:ns3="a2b10433-a2e9-45c2-9b94-0705b79713ff" xmlns:ns4="657c3ae3-b2ba-47df-bb0b-e8980dfaede1" targetNamespace="http://schemas.microsoft.com/office/2006/metadata/properties" ma:root="true" ma:fieldsID="985437622404bd72c699dd0200db2f49" ns3:_="" ns4:_="">
    <xsd:import namespace="a2b10433-a2e9-45c2-9b94-0705b79713ff"/>
    <xsd:import namespace="657c3ae3-b2ba-47df-bb0b-e8980dfaed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0433-a2e9-45c2-9b94-0705b7971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c3ae3-b2ba-47df-bb0b-e8980dfaed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7626F-F1AB-47B4-A845-7455E84C1430}">
  <ds:schemaRefs>
    <ds:schemaRef ds:uri="http://schemas.openxmlformats.org/officeDocument/2006/bibliography"/>
  </ds:schemaRefs>
</ds:datastoreItem>
</file>

<file path=customXml/itemProps2.xml><?xml version="1.0" encoding="utf-8"?>
<ds:datastoreItem xmlns:ds="http://schemas.openxmlformats.org/officeDocument/2006/customXml" ds:itemID="{EBC6A02E-66B2-4583-AC07-E29115883DAA}">
  <ds:schemaRefs>
    <ds:schemaRef ds:uri="http://schemas.microsoft.com/sharepoint/v3/contenttype/forms"/>
  </ds:schemaRefs>
</ds:datastoreItem>
</file>

<file path=customXml/itemProps3.xml><?xml version="1.0" encoding="utf-8"?>
<ds:datastoreItem xmlns:ds="http://schemas.openxmlformats.org/officeDocument/2006/customXml" ds:itemID="{D46BE591-FCB5-4C7B-91BD-BA859104F049}">
  <ds:schemaRefs>
    <ds:schemaRef ds:uri="http://schemas.microsoft.com/office/2006/metadata/properties"/>
    <ds:schemaRef ds:uri="http://schemas.microsoft.com/office/infopath/2007/PartnerControls"/>
    <ds:schemaRef ds:uri="657c3ae3-b2ba-47df-bb0b-e8980dfaede1"/>
  </ds:schemaRefs>
</ds:datastoreItem>
</file>

<file path=customXml/itemProps4.xml><?xml version="1.0" encoding="utf-8"?>
<ds:datastoreItem xmlns:ds="http://schemas.openxmlformats.org/officeDocument/2006/customXml" ds:itemID="{9875551B-C788-4A53-9697-25923454E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10433-a2e9-45c2-9b94-0705b79713ff"/>
    <ds:schemaRef ds:uri="657c3ae3-b2ba-47df-bb0b-e8980dfae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28</Pages>
  <Words>10122</Words>
  <Characters>60232</Characters>
  <Application>Microsoft Office Word</Application>
  <DocSecurity>0</DocSecurity>
  <Lines>1882</Lines>
  <Paragraphs>1212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Shafq Rahman</dc:creator>
  <cp:keywords/>
  <cp:lastModifiedBy>Luke Westle</cp:lastModifiedBy>
  <cp:revision>3</cp:revision>
  <cp:lastPrinted>2024-08-13T05:37:00Z</cp:lastPrinted>
  <dcterms:created xsi:type="dcterms:W3CDTF">2024-08-13T05:37:00Z</dcterms:created>
  <dcterms:modified xsi:type="dcterms:W3CDTF">2024-08-13T05:38:00Z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0x010100C17EAD187A8FDD47B7E7C2E6386E0A15</vt:lpwstr>
  </property>
  <property fmtid="{D5CDD505-2E9C-101B-9397-08002B2CF9AE}" pid="3" name="MSIP_Label_79d889eb-932f-4752-8739-64d25806ef64_Enabled">
    <vt:lpwstr>true</vt:lpwstr>
  </property>
  <property fmtid="{D5CDD505-2E9C-101B-9397-08002B2CF9AE}" pid="4" name="MSIP_Label_79d889eb-932f-4752-8739-64d25806ef64_SetDate">
    <vt:lpwstr>2024-04-02T21:19:36Z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d4396926-8870-4310-b66b-358838267c6a</vt:lpwstr>
  </property>
  <property fmtid="{D5CDD505-2E9C-101B-9397-08002B2CF9AE}" pid="9" name="MSIP_Label_79d889eb-932f-4752-8739-64d25806ef64_ContentBits">
    <vt:lpwstr>0</vt:lpwstr>
  </property>
</Properties>
</file>